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sz w:val="21"/>
          <w:lang w:eastAsia="zh-CN"/>
        </w:rPr>
        <w:drawing>
          <wp:anchor distT="0" distB="0" distL="114300" distR="114300" simplePos="0" relativeHeight="251661312" behindDoc="1" locked="0" layoutInCell="1" allowOverlap="1">
            <wp:simplePos x="0" y="0"/>
            <wp:positionH relativeFrom="column">
              <wp:posOffset>-2117090</wp:posOffset>
            </wp:positionH>
            <wp:positionV relativeFrom="paragraph">
              <wp:posOffset>-879475</wp:posOffset>
            </wp:positionV>
            <wp:extent cx="7602855" cy="1204595"/>
            <wp:effectExtent l="0" t="0" r="1905" b="0"/>
            <wp:wrapNone/>
            <wp:docPr id="1" name="图片 1" descr="D:\Word设计\1平面设计\文档封面\2022.02.23文档封面\images\封面_01.png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ord设计\1平面设计\文档封面\2022.02.23文档封面\images\封面_01.png封面_01"/>
                    <pic:cNvPicPr>
                      <a:picLocks noChangeAspect="1"/>
                    </pic:cNvPicPr>
                  </pic:nvPicPr>
                  <pic:blipFill>
                    <a:blip r:embed="rId9">
                      <a:lum bright="12000"/>
                    </a:blip>
                    <a:srcRect/>
                    <a:stretch>
                      <a:fillRect/>
                    </a:stretch>
                  </pic:blipFill>
                  <pic:spPr>
                    <a:xfrm>
                      <a:off x="0" y="0"/>
                      <a:ext cx="7602855" cy="1204595"/>
                    </a:xfrm>
                    <a:prstGeom prst="rect">
                      <a:avLst/>
                    </a:prstGeom>
                  </pic:spPr>
                </pic:pic>
              </a:graphicData>
            </a:graphic>
          </wp:anchor>
        </w:drawing>
      </w:r>
      <w:r>
        <w:rPr>
          <w:rFonts w:hint="eastAsia" w:asciiTheme="minorEastAsia" w:hAnsiTheme="minorEastAsia" w:eastAsiaTheme="minorEastAsia" w:cstheme="minorEastAsia"/>
          <w:sz w:val="30"/>
          <w:szCs w:val="30"/>
        </w:rPr>
        <w:drawing>
          <wp:anchor distT="0" distB="0" distL="114300" distR="114300" simplePos="0" relativeHeight="251660288"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0"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lang w:eastAsia="zh-CN"/>
        </w:rPr>
      </w:pPr>
    </w:p>
    <w:p>
      <w:pPr>
        <w:outlineLvl w:val="9"/>
        <w:rPr>
          <w:rFonts w:hint="eastAsia"/>
          <w:lang w:eastAsia="zh-CN"/>
        </w:rPr>
      </w:pPr>
    </w:p>
    <w:p>
      <w:pPr>
        <w:outlineLvl w:val="9"/>
        <w:rPr>
          <w:rFonts w:hint="eastAsia"/>
          <w:lang w:eastAsia="zh-CN"/>
        </w:rPr>
      </w:pPr>
    </w:p>
    <w:p>
      <w:pPr>
        <w:pStyle w:val="11"/>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谈判</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1"/>
        <w:kinsoku w:val="0"/>
        <w:overflowPunct w:val="0"/>
        <w:rPr>
          <w:rFonts w:hint="eastAsia" w:asciiTheme="minorEastAsia" w:hAnsiTheme="minorEastAsia" w:eastAsiaTheme="minorEastAsia" w:cstheme="minorEastAsia"/>
          <w:color w:val="auto"/>
          <w:sz w:val="20"/>
        </w:rPr>
      </w:pPr>
      <w:r>
        <w:rPr>
          <w:sz w:val="21"/>
        </w:rPr>
        <w:drawing>
          <wp:anchor distT="0" distB="0" distL="114300" distR="114300" simplePos="0" relativeHeight="251662336" behindDoc="1" locked="0" layoutInCell="1" allowOverlap="1">
            <wp:simplePos x="0" y="0"/>
            <wp:positionH relativeFrom="column">
              <wp:posOffset>-781050</wp:posOffset>
            </wp:positionH>
            <wp:positionV relativeFrom="paragraph">
              <wp:posOffset>4793615</wp:posOffset>
            </wp:positionV>
            <wp:extent cx="7598410" cy="2678430"/>
            <wp:effectExtent l="0" t="0" r="6350" b="3810"/>
            <wp:wrapNone/>
            <wp:docPr id="4" name="图片 4" descr="D:\Word设计\1平面设计\文档封面\2022.02.23文档封面\images\封面_03.png封面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Word设计\1平面设计\文档封面\2022.02.23文档封面\images\封面_03.png封面_03"/>
                    <pic:cNvPicPr>
                      <a:picLocks noChangeAspect="1"/>
                    </pic:cNvPicPr>
                  </pic:nvPicPr>
                  <pic:blipFill>
                    <a:blip r:embed="rId11">
                      <a:lum bright="12000"/>
                    </a:blip>
                    <a:srcRect/>
                    <a:stretch>
                      <a:fillRect/>
                    </a:stretch>
                  </pic:blipFill>
                  <pic:spPr>
                    <a:xfrm>
                      <a:off x="0" y="0"/>
                      <a:ext cx="7598410" cy="2678430"/>
                    </a:xfrm>
                    <a:prstGeom prst="rect">
                      <a:avLst/>
                    </a:prstGeom>
                  </pic:spPr>
                </pic:pic>
              </a:graphicData>
            </a:graphic>
          </wp:anchor>
        </w:drawing>
      </w:r>
    </w:p>
    <w:p>
      <w:pPr>
        <w:pStyle w:val="11"/>
        <w:kinsoku w:val="0"/>
        <w:overflowPunct w:val="0"/>
        <w:jc w:val="center"/>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2" w:after="1"/>
        <w:rPr>
          <w:rFonts w:hint="eastAsia" w:asciiTheme="minorEastAsia" w:hAnsiTheme="minorEastAsia" w:eastAsiaTheme="minorEastAsia" w:cstheme="minorEastAsia"/>
          <w:color w:val="auto"/>
          <w:sz w:val="11"/>
        </w:rPr>
      </w:pPr>
    </w:p>
    <w:tbl>
      <w:tblPr>
        <w:tblStyle w:val="27"/>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项目编号：</w:t>
            </w:r>
          </w:p>
        </w:tc>
        <w:tc>
          <w:tcPr>
            <w:tcW w:w="6053" w:type="dxa"/>
            <w:tcBorders>
              <w:top w:val="nil"/>
              <w:left w:val="nil"/>
              <w:bottom w:val="nil"/>
              <w:right w:val="nil"/>
              <w:tl2br w:val="nil"/>
              <w:tr2bl w:val="nil"/>
            </w:tcBorders>
            <w:vAlign w:val="center"/>
          </w:tcPr>
          <w:p>
            <w:pPr>
              <w:pStyle w:val="96"/>
              <w:kinsoku w:val="0"/>
              <w:overflowPunct w:val="0"/>
              <w:spacing w:before="122"/>
              <w:ind w:left="55"/>
              <w:jc w:val="both"/>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lang w:eastAsia="zh-CN"/>
              </w:rPr>
              <w:t>ZJZB-202212-272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项目名称：</w:t>
            </w:r>
          </w:p>
        </w:tc>
        <w:tc>
          <w:tcPr>
            <w:tcW w:w="605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lang w:eastAsia="zh-CN"/>
              </w:rPr>
              <w:t>湖北省某部住房一期工程房屋安全鉴定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rightChars="0"/>
              <w:jc w:val="distribute"/>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采购</w:t>
            </w:r>
            <w:r>
              <w:rPr>
                <w:rFonts w:hint="eastAsia" w:asciiTheme="minorEastAsia" w:hAnsiTheme="minorEastAsia" w:eastAsiaTheme="minorEastAsia" w:cstheme="minorEastAsia"/>
                <w:b/>
                <w:color w:val="auto"/>
                <w:sz w:val="28"/>
                <w:lang w:val="en-US" w:eastAsia="zh-CN"/>
              </w:rPr>
              <w:t>方式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rPr>
              <w:t>竞争性</w:t>
            </w:r>
            <w:r>
              <w:rPr>
                <w:rFonts w:hint="eastAsia" w:asciiTheme="minorEastAsia" w:hAnsiTheme="minorEastAsia" w:eastAsiaTheme="minorEastAsia" w:cstheme="minorEastAsia"/>
                <w:b/>
                <w:color w:val="auto"/>
                <w:sz w:val="28"/>
                <w:lang w:eastAsia="zh-CN"/>
              </w:rPr>
              <w:t>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rightChars="0"/>
              <w:jc w:val="distribute"/>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采购类别：</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服务</w:t>
            </w:r>
          </w:p>
        </w:tc>
      </w:tr>
    </w:tbl>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4"/>
        <w:rPr>
          <w:rFonts w:hint="eastAsia" w:asciiTheme="minorEastAsia" w:hAnsiTheme="minorEastAsia" w:eastAsiaTheme="minorEastAsia" w:cstheme="minorEastAsia"/>
          <w:color w:val="auto"/>
          <w:sz w:val="20"/>
        </w:rPr>
      </w:pPr>
    </w:p>
    <w:tbl>
      <w:tblPr>
        <w:tblStyle w:val="27"/>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rPr>
              <w:t>湖北省某部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2023年1月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spacing w:line="360" w:lineRule="auto"/>
        <w:jc w:val="center"/>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目  录</w:t>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_Toc13772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第一章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采购公告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_Toc13772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_Toc9545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一、 项目基本情况</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_Toc9545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_Toc17508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二、 申请人的资格要求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_Toc17508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_Toc25492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三、 获取</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_Toc25492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四、 </w:t>
      </w:r>
      <w:r>
        <w:rPr>
          <w:rFonts w:hint="eastAsia" w:asciiTheme="minorEastAsia" w:hAnsiTheme="minorEastAsia" w:eastAsiaTheme="minorEastAsia" w:cstheme="minorEastAsia"/>
          <w:sz w:val="21"/>
          <w:szCs w:val="21"/>
          <w:lang w:eastAsia="zh-CN"/>
        </w:rPr>
        <w:t>响应文件提交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_Toc9929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五、 开启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_Toc9929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_Toc12137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六、 公告期限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_Toc12137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_Toc2871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七、 其他补充事宜</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_Toc2871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_Toc10802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八、 凡对本次采购提出询问，请按以下方式联系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_Toc10802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_Toc15295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九、 注意事项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_Toc15295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_Toc27274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第二章 供应商须知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_Toc27274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_Toc26368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《供应商须知前附表》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_Toc26368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_Toc32139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供应商须知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_Toc32139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_Toc25302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一、 总则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_Toc25302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_Toc4636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 适用法律及范围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_Toc4636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_Toc6407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 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_Toc6407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_Toc28546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3、 </w:t>
      </w:r>
      <w:r>
        <w:rPr>
          <w:rFonts w:hint="eastAsia" w:asciiTheme="minorEastAsia" w:hAnsiTheme="minorEastAsia" w:eastAsiaTheme="minorEastAsia" w:cstheme="minorEastAsia"/>
          <w:snapToGrid w:val="0"/>
          <w:kern w:val="0"/>
          <w:sz w:val="21"/>
          <w:szCs w:val="21"/>
          <w:lang w:val="zh-CN"/>
        </w:rPr>
        <w:t>工程、货物及服务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_Toc28546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_Toc28170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 费用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_Toc28170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_Toc24952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二、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采购文件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_Toc24952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_Toc6986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采购文件的构成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_Toc6986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_Toc19952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6、 竞争性谈判采购文件的澄清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_Toc19952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7、 竞争性谈判采购文件的修改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三、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_Toc19197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8、 语言和计量单位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_Toc19197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_Toc28167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9、 竞争性谈判响应文件的构成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_Toc28167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_Toc5067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10、 竞争性谈判响应文件的编制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_Toc5067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_Toc28873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11、 谈判报价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_Toc28873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_Toc15905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12、 备选方案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_Toc15905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_Toc31634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13、 联合体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_Toc31634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_Toc7039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14、 供应商资格证明文件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_Toc7039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_Toc6374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15、 证明报价内容、服务合格性和符合竞争性谈判采购文件规定的文件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_Toc6374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_Toc5976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16、 谈判保证金</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_Toc5976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_Toc19838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17、 谈判有效期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_Toc19838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_Toc5703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18、 竞争性谈判响应文件的装订、签署和数量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_Toc5703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_Toc15147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四、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响应文件的递交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_Toc15147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_Toc19448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 xml:space="preserve">19、 </w:t>
      </w:r>
      <w:r>
        <w:rPr>
          <w:rFonts w:hint="eastAsia" w:asciiTheme="minorEastAsia" w:hAnsiTheme="minorEastAsia" w:eastAsiaTheme="minorEastAsia" w:cstheme="minorEastAsia"/>
          <w:sz w:val="21"/>
          <w:szCs w:val="21"/>
        </w:rPr>
        <w:t>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snapToGrid w:val="0"/>
          <w:kern w:val="0"/>
          <w:sz w:val="21"/>
          <w:szCs w:val="21"/>
          <w:lang w:val="zh-CN"/>
        </w:rPr>
        <w:t>的密封和标记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_Toc19448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_Toc25498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20、 竞争性谈判响应文件的送达地点及截止时间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_Toc25498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_Toc9542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21、 迟交的竞争性谈判响应文件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_Toc9542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_Toc21116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22、 竞争性谈判响应文件的补充、修改或者撤回</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_Toc21116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_Toc4190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五、 </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程序及步骤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_Toc4190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_Toc29083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 xml:space="preserve">23、 </w:t>
      </w:r>
      <w:r>
        <w:rPr>
          <w:rFonts w:hint="eastAsia" w:asciiTheme="minorEastAsia" w:hAnsiTheme="minorEastAsia" w:eastAsiaTheme="minorEastAsia" w:cstheme="minorEastAsia"/>
          <w:sz w:val="21"/>
          <w:szCs w:val="21"/>
        </w:rPr>
        <w:t>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小组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_Toc29083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_Toc31465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napToGrid w:val="0"/>
          <w:kern w:val="0"/>
          <w:sz w:val="21"/>
          <w:szCs w:val="21"/>
          <w:lang w:val="zh-CN"/>
        </w:rPr>
        <w:t xml:space="preserve">24、 </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lang w:val="en-US" w:eastAsia="zh-CN"/>
        </w:rPr>
        <w:t>步骤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_Toc31465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_Toc7905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 资格审查和符合性审查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_Toc7905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_Toc24197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六、 成交与签订合同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_Toc24197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_Toc7011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 xml:space="preserve">26、 </w:t>
      </w:r>
      <w:r>
        <w:rPr>
          <w:rFonts w:hint="eastAsia" w:asciiTheme="minorEastAsia" w:hAnsiTheme="minorEastAsia" w:eastAsiaTheme="minorEastAsia" w:cstheme="minorEastAsia"/>
          <w:snapToGrid w:val="0"/>
          <w:sz w:val="21"/>
          <w:szCs w:val="21"/>
          <w:lang w:val="zh-CN"/>
        </w:rPr>
        <w:t>谈判成交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_Toc7011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_Toc13852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27、 合同授予标准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_Toc13852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_Toc25575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七、 质疑和投诉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_Toc25575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_Toc19159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28、 质疑</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_Toc19159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_Toc18051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29、 质疑回复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_Toc18051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_Toc32189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30、 投诉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_Toc32189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_Toc26179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八、 其他要求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_Toc26179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_Toc6978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九、 适用法律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_Toc6978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_Toc9470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第三章 采购需求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_Toc9470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_Toc28752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一、技术需求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_Toc28752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_Toc27833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二、商务需求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_Toc27833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_Toc21647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第四章 </w:t>
      </w:r>
      <w:r>
        <w:rPr>
          <w:rFonts w:hint="eastAsia" w:asciiTheme="minorEastAsia" w:hAnsiTheme="minorEastAsia" w:eastAsiaTheme="minorEastAsia" w:cstheme="minorEastAsia"/>
          <w:sz w:val="21"/>
          <w:szCs w:val="21"/>
          <w:lang w:val="en-US" w:eastAsia="zh-CN"/>
        </w:rPr>
        <w:t>竞争性谈判采购</w:t>
      </w:r>
      <w:r>
        <w:rPr>
          <w:rFonts w:hint="eastAsia" w:asciiTheme="minorEastAsia" w:hAnsiTheme="minorEastAsia" w:eastAsiaTheme="minorEastAsia" w:cstheme="minorEastAsia"/>
          <w:sz w:val="21"/>
          <w:szCs w:val="21"/>
        </w:rPr>
        <w:t>评定办法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_Toc21647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_Toc23888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评定办法前附表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_Toc23888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_Toc15349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评定办法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_Toc15349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_Toc18492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三、谈判及评审步骤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_Toc18492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_Toc12783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 xml:space="preserve">第五章 </w:t>
      </w:r>
      <w:r>
        <w:rPr>
          <w:rFonts w:hint="eastAsia" w:asciiTheme="minorEastAsia" w:hAnsiTheme="minorEastAsia" w:eastAsiaTheme="minorEastAsia" w:cstheme="minorEastAsia"/>
          <w:sz w:val="21"/>
          <w:szCs w:val="21"/>
        </w:rPr>
        <w:t>合同书</w:t>
      </w:r>
      <w:r>
        <w:rPr>
          <w:rFonts w:hint="eastAsia" w:asciiTheme="minorEastAsia" w:hAnsiTheme="minorEastAsia" w:eastAsiaTheme="minorEastAsia" w:cstheme="minorEastAsia"/>
          <w:sz w:val="21"/>
          <w:szCs w:val="21"/>
          <w:lang w:val="en-US" w:eastAsia="zh-CN"/>
        </w:rPr>
        <w:t>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_Toc12783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1"/>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_Toc29614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第六章 竞争性</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响应文件格式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_Toc29614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_Toc29336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一、响应文件目录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_Toc29336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_Toc10071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_Toc10071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_Toc15063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、法定代表人授权书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_Toc15063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_Toc22672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en-US" w:eastAsia="zh-CN"/>
        </w:rPr>
        <w:t>四</w:t>
      </w: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法定代表人身份证明书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_Toc22672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_Toc28264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五</w:t>
      </w:r>
      <w:r>
        <w:rPr>
          <w:rFonts w:hint="eastAsia" w:asciiTheme="minorEastAsia" w:hAnsiTheme="minorEastAsia" w:eastAsiaTheme="minorEastAsia" w:cstheme="minorEastAsia"/>
          <w:bCs/>
          <w:sz w:val="21"/>
          <w:szCs w:val="21"/>
        </w:rPr>
        <w:t>、报价一览表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_Toc14539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六</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报价费用构成表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_Toc14539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_Toc27406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七</w:t>
      </w:r>
      <w:r>
        <w:rPr>
          <w:rFonts w:hint="eastAsia" w:asciiTheme="minorEastAsia" w:hAnsiTheme="minorEastAsia" w:eastAsiaTheme="minorEastAsia" w:cstheme="minorEastAsia"/>
          <w:bCs/>
          <w:sz w:val="21"/>
          <w:szCs w:val="21"/>
        </w:rPr>
        <w:t>、耗材清单（如有）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_Toc27406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_Toc16493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八、类似业绩一览表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_Toc16493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_Toc23178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九</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缴纳</w:t>
      </w:r>
      <w:r>
        <w:rPr>
          <w:rFonts w:hint="eastAsia" w:asciiTheme="minorEastAsia" w:hAnsiTheme="minorEastAsia" w:eastAsiaTheme="minorEastAsia" w:cstheme="minorEastAsia"/>
          <w:bCs/>
          <w:sz w:val="21"/>
          <w:szCs w:val="21"/>
        </w:rPr>
        <w:t>保证金的银行凭证</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如有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_Toc23178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_Toc24954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十</w:t>
      </w:r>
      <w:r>
        <w:rPr>
          <w:rFonts w:hint="eastAsia" w:asciiTheme="minorEastAsia" w:hAnsiTheme="minorEastAsia" w:eastAsiaTheme="minorEastAsia" w:cstheme="minorEastAsia"/>
          <w:bCs/>
          <w:sz w:val="21"/>
          <w:szCs w:val="21"/>
        </w:rPr>
        <w:t>、偏离说明表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_Toc24954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_Toc8453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十</w:t>
      </w:r>
      <w:r>
        <w:rPr>
          <w:rFonts w:hint="eastAsia" w:asciiTheme="minorEastAsia" w:hAnsiTheme="minorEastAsia" w:eastAsiaTheme="minorEastAsia" w:cstheme="minorEastAsia"/>
          <w:bCs/>
          <w:kern w:val="0"/>
          <w:sz w:val="21"/>
          <w:szCs w:val="21"/>
          <w:lang w:eastAsia="zh-CN"/>
        </w:rPr>
        <w:t>一</w:t>
      </w: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供应商的资格声明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_Toc8453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_Toc10437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十</w:t>
      </w:r>
      <w:r>
        <w:rPr>
          <w:rFonts w:hint="eastAsia" w:asciiTheme="minorEastAsia" w:hAnsiTheme="minorEastAsia" w:eastAsiaTheme="minorEastAsia" w:cstheme="minorEastAsia"/>
          <w:bCs/>
          <w:kern w:val="0"/>
          <w:sz w:val="21"/>
          <w:szCs w:val="21"/>
          <w:lang w:val="en-US" w:eastAsia="zh-CN"/>
        </w:rPr>
        <w:t>二</w:t>
      </w: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sz w:val="21"/>
          <w:szCs w:val="21"/>
        </w:rPr>
        <w:t>资格证明文件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_Toc10437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_Toc13326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en-US" w:eastAsia="zh-CN"/>
        </w:rPr>
        <w:t>十三、</w:t>
      </w:r>
      <w:r>
        <w:rPr>
          <w:rFonts w:hint="eastAsia" w:asciiTheme="minorEastAsia" w:hAnsiTheme="minorEastAsia" w:eastAsiaTheme="minorEastAsia" w:cstheme="minorEastAsia"/>
          <w:sz w:val="21"/>
          <w:szCs w:val="21"/>
        </w:rPr>
        <w:t>报价技术文件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_Toc13326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_Toc2435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en-US" w:eastAsia="zh-CN"/>
        </w:rPr>
        <w:t>十四、</w:t>
      </w:r>
      <w:r>
        <w:rPr>
          <w:rFonts w:hint="eastAsia" w:asciiTheme="minorEastAsia" w:hAnsiTheme="minorEastAsia" w:eastAsiaTheme="minorEastAsia" w:cstheme="minorEastAsia"/>
          <w:bCs/>
          <w:kern w:val="0"/>
          <w:sz w:val="21"/>
          <w:szCs w:val="21"/>
          <w:lang w:val="zh-CN" w:eastAsia="zh-CN"/>
        </w:rPr>
        <w:t>中小企业声明函（工程、服务）（若符合）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_Toc2435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_Toc18022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zh-CN"/>
        </w:rPr>
        <w:t>十五、监狱企业证明文</w:t>
      </w:r>
      <w:r>
        <w:rPr>
          <w:rFonts w:hint="eastAsia" w:asciiTheme="minorEastAsia" w:hAnsiTheme="minorEastAsia" w:eastAsiaTheme="minorEastAsia" w:cstheme="minorEastAsia"/>
          <w:bCs/>
          <w:kern w:val="0"/>
          <w:sz w:val="21"/>
          <w:szCs w:val="21"/>
        </w:rPr>
        <w:t>件</w:t>
      </w:r>
      <w:r>
        <w:rPr>
          <w:rFonts w:hint="eastAsia" w:asciiTheme="minorEastAsia" w:hAnsiTheme="minorEastAsia" w:eastAsiaTheme="minorEastAsia" w:cstheme="minorEastAsia"/>
          <w:bCs/>
          <w:kern w:val="0"/>
          <w:sz w:val="21"/>
          <w:szCs w:val="21"/>
          <w:lang w:val="zh-CN"/>
        </w:rPr>
        <w:t>（若</w:t>
      </w:r>
      <w:r>
        <w:rPr>
          <w:rFonts w:hint="eastAsia" w:asciiTheme="minorEastAsia" w:hAnsiTheme="minorEastAsia" w:eastAsiaTheme="minorEastAsia" w:cstheme="minorEastAsia"/>
          <w:bCs/>
          <w:kern w:val="0"/>
          <w:sz w:val="21"/>
          <w:szCs w:val="21"/>
          <w:lang w:val="en-US" w:eastAsia="zh-CN"/>
        </w:rPr>
        <w:t>符合</w:t>
      </w:r>
      <w:r>
        <w:rPr>
          <w:rFonts w:hint="eastAsia" w:asciiTheme="minorEastAsia" w:hAnsiTheme="minorEastAsia" w:eastAsiaTheme="minorEastAsia" w:cstheme="minorEastAsia"/>
          <w:bCs/>
          <w:kern w:val="0"/>
          <w:sz w:val="21"/>
          <w:szCs w:val="21"/>
          <w:lang w:val="zh-CN"/>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_Toc18022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_Toc11877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en-US" w:eastAsia="zh-CN"/>
        </w:rPr>
        <w:t>十六</w:t>
      </w: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kern w:val="0"/>
          <w:sz w:val="21"/>
          <w:szCs w:val="21"/>
          <w:lang w:val="zh-CN"/>
        </w:rPr>
        <w:t>残疾人福利性单位声明函（若</w:t>
      </w:r>
      <w:r>
        <w:rPr>
          <w:rFonts w:hint="eastAsia" w:asciiTheme="minorEastAsia" w:hAnsiTheme="minorEastAsia" w:eastAsiaTheme="minorEastAsia" w:cstheme="minorEastAsia"/>
          <w:bCs/>
          <w:kern w:val="0"/>
          <w:sz w:val="21"/>
          <w:szCs w:val="21"/>
          <w:lang w:val="en-US" w:eastAsia="zh-CN"/>
        </w:rPr>
        <w:t>符合</w:t>
      </w:r>
      <w:r>
        <w:rPr>
          <w:rFonts w:hint="eastAsia" w:asciiTheme="minorEastAsia" w:hAnsiTheme="minorEastAsia" w:eastAsiaTheme="minorEastAsia" w:cstheme="minorEastAsia"/>
          <w:bCs/>
          <w:kern w:val="0"/>
          <w:sz w:val="21"/>
          <w:szCs w:val="21"/>
          <w:lang w:val="zh-CN"/>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_Toc11877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_Toc22306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十七、节能环保产品证明材料（若符合）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_Toc22306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_Toc17583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pacing w:val="6"/>
          <w:sz w:val="21"/>
          <w:szCs w:val="21"/>
          <w:lang w:val="en-US" w:eastAsia="zh-CN"/>
        </w:rPr>
        <w:t>十八</w:t>
      </w:r>
      <w:r>
        <w:rPr>
          <w:rFonts w:hint="eastAsia" w:asciiTheme="minorEastAsia" w:hAnsiTheme="minorEastAsia" w:eastAsiaTheme="minorEastAsia" w:cstheme="minorEastAsia"/>
          <w:bCs/>
          <w:spacing w:val="6"/>
          <w:sz w:val="21"/>
          <w:szCs w:val="21"/>
        </w:rPr>
        <w:t>、</w:t>
      </w:r>
      <w:r>
        <w:rPr>
          <w:rFonts w:hint="eastAsia" w:asciiTheme="minorEastAsia" w:hAnsiTheme="minorEastAsia" w:eastAsiaTheme="minorEastAsia" w:cstheme="minorEastAsia"/>
          <w:sz w:val="21"/>
          <w:szCs w:val="21"/>
        </w:rPr>
        <w:t>无重大违法记录声明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_Toc17583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23"/>
        <w:tabs>
          <w:tab w:val="right" w:leader="dot" w:pos="9072"/>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_Toc26351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shd w:val="clear" w:color="auto" w:fill="FFFFFF"/>
          <w:lang w:val="en-US" w:eastAsia="zh-CN"/>
        </w:rPr>
        <w:t>十九</w:t>
      </w:r>
      <w:r>
        <w:rPr>
          <w:rFonts w:hint="eastAsia" w:asciiTheme="minorEastAsia" w:hAnsiTheme="minorEastAsia" w:eastAsiaTheme="minorEastAsia" w:cstheme="minorEastAsia"/>
          <w:bCs/>
          <w:kern w:val="0"/>
          <w:sz w:val="21"/>
          <w:szCs w:val="21"/>
          <w:shd w:val="clear" w:color="auto" w:fill="FFFFFF"/>
        </w:rPr>
        <w:t>、</w:t>
      </w:r>
      <w:r>
        <w:rPr>
          <w:rFonts w:hint="eastAsia" w:asciiTheme="minorEastAsia" w:hAnsiTheme="minorEastAsia" w:eastAsiaTheme="minorEastAsia" w:cstheme="minorEastAsia"/>
          <w:bCs/>
          <w:kern w:val="0"/>
          <w:sz w:val="21"/>
          <w:szCs w:val="21"/>
          <w:shd w:val="clear" w:color="auto" w:fill="FFFFFF"/>
          <w:lang w:eastAsia="zh-CN"/>
        </w:rPr>
        <w:t>谈判</w:t>
      </w:r>
      <w:r>
        <w:rPr>
          <w:rFonts w:hint="eastAsia" w:asciiTheme="minorEastAsia" w:hAnsiTheme="minorEastAsia" w:eastAsiaTheme="minorEastAsia" w:cstheme="minorEastAsia"/>
          <w:bCs/>
          <w:kern w:val="0"/>
          <w:sz w:val="21"/>
          <w:szCs w:val="21"/>
          <w:shd w:val="clear" w:color="auto" w:fill="FFFFFF"/>
        </w:rPr>
        <w:t xml:space="preserve">供应商认为应该提交的其它文件（格式自拟）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_Toc26351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spacing w:line="360" w:lineRule="auto"/>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sz w:val="21"/>
          <w:szCs w:val="21"/>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bookmarkStart w:id="0" w:name="_Toc13772"/>
      <w:r>
        <w:rPr>
          <w:rFonts w:hint="eastAsia" w:asciiTheme="minorEastAsia" w:hAnsiTheme="minorEastAsia" w:eastAsiaTheme="minorEastAsia" w:cstheme="minorEastAsia"/>
          <w:sz w:val="36"/>
          <w:szCs w:val="36"/>
        </w:rPr>
        <w:t>竞争性</w:t>
      </w:r>
      <w:r>
        <w:rPr>
          <w:rFonts w:hint="eastAsia" w:asciiTheme="minorEastAsia" w:hAnsiTheme="minorEastAsia" w:eastAsiaTheme="minorEastAsia" w:cstheme="minorEastAsia"/>
          <w:sz w:val="36"/>
          <w:szCs w:val="36"/>
          <w:lang w:eastAsia="zh-CN"/>
        </w:rPr>
        <w:t>谈判</w:t>
      </w:r>
      <w:r>
        <w:rPr>
          <w:rFonts w:hint="eastAsia" w:asciiTheme="minorEastAsia" w:hAnsiTheme="minorEastAsia" w:eastAsiaTheme="minorEastAsia" w:cstheme="minorEastAsia"/>
          <w:sz w:val="36"/>
          <w:szCs w:val="36"/>
        </w:rPr>
        <w:t>采购公告</w:t>
      </w:r>
      <w:bookmarkEnd w:id="0"/>
    </w:p>
    <w:p>
      <w:pPr>
        <w:pBdr>
          <w:top w:val="single" w:color="auto" w:sz="4" w:space="1"/>
          <w:left w:val="single" w:color="auto" w:sz="4" w:space="4"/>
          <w:bottom w:val="single" w:color="auto" w:sz="4" w:space="1"/>
          <w:right w:val="single" w:color="auto" w:sz="4" w:space="4"/>
        </w:pBd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bCs/>
          <w:color w:val="auto"/>
          <w:sz w:val="21"/>
          <w:szCs w:val="21"/>
          <w:highlight w:val="none"/>
          <w:u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eastAsia="zh-CN"/>
        </w:rPr>
        <w:t>湖北省某部住房一期工程房屋安全鉴定</w:t>
      </w:r>
      <w:r>
        <w:rPr>
          <w:rFonts w:hint="eastAsia" w:asciiTheme="minorEastAsia" w:hAnsiTheme="minorEastAsia" w:eastAsiaTheme="minorEastAsia" w:cstheme="minorEastAsia"/>
          <w:color w:val="auto"/>
          <w:sz w:val="21"/>
          <w:szCs w:val="21"/>
          <w:highlight w:val="none"/>
          <w:u w:val="none"/>
          <w:lang w:val="en-US" w:eastAsia="zh-CN"/>
        </w:rPr>
        <w:t>采购项目的潜在供应商应在</w:t>
      </w:r>
      <w:r>
        <w:rPr>
          <w:rFonts w:hint="eastAsia" w:asciiTheme="minorEastAsia" w:hAnsiTheme="minorEastAsia" w:eastAsiaTheme="minorEastAsia" w:cstheme="minorEastAsia"/>
          <w:color w:val="auto"/>
          <w:sz w:val="21"/>
          <w:szCs w:val="21"/>
          <w:highlight w:val="none"/>
          <w:u w:val="none"/>
          <w:lang w:eastAsia="zh-CN"/>
        </w:rPr>
        <w:t>线上</w:t>
      </w:r>
      <w:r>
        <w:rPr>
          <w:rFonts w:hint="eastAsia" w:asciiTheme="minorEastAsia" w:hAnsiTheme="minorEastAsia" w:eastAsiaTheme="minorEastAsia" w:cstheme="minorEastAsia"/>
          <w:color w:val="auto"/>
          <w:sz w:val="21"/>
          <w:szCs w:val="21"/>
          <w:highlight w:val="none"/>
          <w:u w:val="none"/>
        </w:rPr>
        <w:t>获取</w:t>
      </w:r>
      <w:r>
        <w:rPr>
          <w:rFonts w:hint="eastAsia" w:asciiTheme="minorEastAsia" w:hAnsiTheme="minorEastAsia" w:eastAsiaTheme="minorEastAsia" w:cstheme="minorEastAsia"/>
          <w:color w:val="auto"/>
          <w:sz w:val="21"/>
          <w:szCs w:val="21"/>
          <w:highlight w:val="none"/>
          <w:u w:val="none"/>
          <w:lang w:eastAsia="zh-CN"/>
        </w:rPr>
        <w:t>采购</w:t>
      </w:r>
      <w:r>
        <w:rPr>
          <w:rFonts w:hint="eastAsia" w:asciiTheme="minorEastAsia" w:hAnsiTheme="minorEastAsia" w:eastAsiaTheme="minorEastAsia" w:cstheme="minorEastAsia"/>
          <w:color w:val="auto"/>
          <w:sz w:val="21"/>
          <w:szCs w:val="21"/>
          <w:highlight w:val="none"/>
          <w:u w:val="none"/>
        </w:rPr>
        <w:t>文件，并于</w:t>
      </w:r>
      <w:r>
        <w:rPr>
          <w:rFonts w:hint="eastAsia" w:asciiTheme="minorEastAsia" w:hAnsiTheme="minorEastAsia" w:eastAsiaTheme="minorEastAsia" w:cstheme="minorEastAsia"/>
          <w:color w:val="auto"/>
          <w:sz w:val="21"/>
          <w:szCs w:val="21"/>
          <w:highlight w:val="none"/>
          <w:u w:val="none"/>
          <w:lang w:val="en-US" w:eastAsia="zh-CN"/>
        </w:rPr>
        <w:t>2023年1月13日9点30分</w:t>
      </w:r>
      <w:r>
        <w:rPr>
          <w:rFonts w:hint="eastAsia" w:asciiTheme="minorEastAsia" w:hAnsiTheme="minorEastAsia" w:eastAsiaTheme="minorEastAsia" w:cstheme="minorEastAsia"/>
          <w:color w:val="auto"/>
          <w:sz w:val="21"/>
          <w:szCs w:val="21"/>
          <w:highlight w:val="none"/>
          <w:u w:val="none"/>
        </w:rPr>
        <w:t>（北京时间）前递交</w:t>
      </w:r>
      <w:r>
        <w:rPr>
          <w:rFonts w:hint="eastAsia" w:asciiTheme="minorEastAsia" w:hAnsiTheme="minorEastAsia" w:eastAsiaTheme="minorEastAsia" w:cstheme="minorEastAsia"/>
          <w:color w:val="auto"/>
          <w:sz w:val="21"/>
          <w:szCs w:val="21"/>
          <w:highlight w:val="none"/>
          <w:u w:val="none"/>
          <w:lang w:eastAsia="zh-CN"/>
        </w:rPr>
        <w:t>响应</w:t>
      </w:r>
      <w:r>
        <w:rPr>
          <w:rFonts w:hint="eastAsia" w:asciiTheme="minorEastAsia" w:hAnsiTheme="minorEastAsia" w:eastAsiaTheme="minorEastAsia" w:cstheme="minorEastAsia"/>
          <w:color w:val="auto"/>
          <w:sz w:val="21"/>
          <w:szCs w:val="21"/>
          <w:highlight w:val="none"/>
          <w:u w:val="none"/>
        </w:rPr>
        <w:t>文件。</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1" w:name="_Toc9545"/>
      <w:r>
        <w:rPr>
          <w:rFonts w:hint="eastAsia" w:asciiTheme="minorEastAsia" w:hAnsiTheme="minorEastAsia" w:eastAsiaTheme="minorEastAsia" w:cstheme="minorEastAsia"/>
          <w:color w:val="auto"/>
          <w:sz w:val="21"/>
          <w:szCs w:val="21"/>
          <w:highlight w:val="none"/>
          <w:u w:val="none"/>
        </w:rPr>
        <w:t>项目基本情况</w:t>
      </w:r>
      <w:bookmarkEnd w:id="1"/>
    </w:p>
    <w:p>
      <w:pPr>
        <w:spacing w:line="360" w:lineRule="auto"/>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1</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项目编号：</w:t>
      </w:r>
      <w:r>
        <w:rPr>
          <w:rFonts w:hint="eastAsia" w:asciiTheme="minorEastAsia" w:hAnsiTheme="minorEastAsia" w:eastAsiaTheme="minorEastAsia" w:cstheme="minorEastAsia"/>
          <w:color w:val="auto"/>
          <w:sz w:val="21"/>
          <w:szCs w:val="21"/>
          <w:highlight w:val="none"/>
          <w:u w:val="none"/>
          <w:lang w:eastAsia="zh-CN"/>
        </w:rPr>
        <w:t>ZJZB-202212-272</w:t>
      </w:r>
    </w:p>
    <w:p>
      <w:pPr>
        <w:spacing w:line="360" w:lineRule="auto"/>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2.采购计划备案号：/</w:t>
      </w:r>
    </w:p>
    <w:p>
      <w:pPr>
        <w:spacing w:line="360" w:lineRule="auto"/>
        <w:jc w:val="left"/>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rPr>
        <w:t>项目名称：</w:t>
      </w:r>
      <w:r>
        <w:rPr>
          <w:rFonts w:hint="eastAsia" w:asciiTheme="minorEastAsia" w:hAnsiTheme="minorEastAsia" w:eastAsiaTheme="minorEastAsia" w:cstheme="minorEastAsia"/>
          <w:color w:val="auto"/>
          <w:sz w:val="21"/>
          <w:szCs w:val="21"/>
          <w:highlight w:val="none"/>
          <w:u w:val="none"/>
          <w:lang w:eastAsia="zh-CN"/>
        </w:rPr>
        <w:t>湖北省某部住房一期工程房屋安全鉴定</w:t>
      </w:r>
    </w:p>
    <w:p>
      <w:pPr>
        <w:spacing w:line="360" w:lineRule="auto"/>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4.采购方式：竞争性谈判</w:t>
      </w:r>
    </w:p>
    <w:p>
      <w:pPr>
        <w:spacing w:line="360" w:lineRule="auto"/>
        <w:jc w:val="left"/>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5.</w:t>
      </w:r>
      <w:r>
        <w:rPr>
          <w:rFonts w:hint="eastAsia" w:asciiTheme="minorEastAsia" w:hAnsiTheme="minorEastAsia" w:eastAsiaTheme="minorEastAsia" w:cstheme="minorEastAsia"/>
          <w:color w:val="auto"/>
          <w:sz w:val="21"/>
          <w:szCs w:val="21"/>
          <w:highlight w:val="none"/>
          <w:u w:val="none"/>
        </w:rPr>
        <w:t>预算</w:t>
      </w:r>
      <w:r>
        <w:rPr>
          <w:rFonts w:hint="eastAsia" w:asciiTheme="minorEastAsia" w:hAnsiTheme="minorEastAsia" w:eastAsiaTheme="minorEastAsia" w:cstheme="minorEastAsia"/>
          <w:color w:val="auto"/>
          <w:sz w:val="21"/>
          <w:szCs w:val="21"/>
          <w:highlight w:val="none"/>
          <w:u w:val="none"/>
          <w:lang w:eastAsia="zh-CN"/>
        </w:rPr>
        <w:t>金额</w:t>
      </w:r>
      <w:r>
        <w:rPr>
          <w:rFonts w:hint="eastAsia" w:asciiTheme="minorEastAsia" w:hAnsiTheme="minorEastAsia" w:eastAsiaTheme="minorEastAsia" w:cstheme="minorEastAsia"/>
          <w:color w:val="auto"/>
          <w:sz w:val="21"/>
          <w:szCs w:val="21"/>
          <w:highlight w:val="none"/>
          <w:u w:val="none"/>
        </w:rPr>
        <w:t>：人民币</w:t>
      </w:r>
      <w:r>
        <w:rPr>
          <w:rFonts w:hint="eastAsia" w:asciiTheme="minorEastAsia" w:hAnsiTheme="minorEastAsia" w:eastAsiaTheme="minorEastAsia" w:cstheme="minorEastAsia"/>
          <w:color w:val="auto"/>
          <w:sz w:val="21"/>
          <w:szCs w:val="21"/>
          <w:highlight w:val="none"/>
          <w:u w:val="none"/>
          <w:lang w:val="en-US" w:eastAsia="zh-CN"/>
        </w:rPr>
        <w:t>18</w:t>
      </w:r>
      <w:r>
        <w:rPr>
          <w:rFonts w:hint="eastAsia" w:asciiTheme="minorEastAsia" w:hAnsiTheme="minorEastAsia" w:eastAsiaTheme="minorEastAsia" w:cstheme="minorEastAsia"/>
          <w:color w:val="auto"/>
          <w:sz w:val="21"/>
          <w:szCs w:val="21"/>
          <w:highlight w:val="none"/>
          <w:u w:val="none"/>
        </w:rPr>
        <w:t>万元</w:t>
      </w:r>
    </w:p>
    <w:p>
      <w:pPr>
        <w:spacing w:line="360" w:lineRule="auto"/>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6.最高限价：</w:t>
      </w:r>
      <w:r>
        <w:rPr>
          <w:rFonts w:hint="eastAsia" w:asciiTheme="minorEastAsia" w:hAnsiTheme="minorEastAsia" w:eastAsiaTheme="minorEastAsia" w:cstheme="minorEastAsia"/>
          <w:color w:val="auto"/>
          <w:sz w:val="21"/>
          <w:szCs w:val="21"/>
          <w:highlight w:val="none"/>
          <w:u w:val="none"/>
        </w:rPr>
        <w:t>人民币</w:t>
      </w:r>
      <w:r>
        <w:rPr>
          <w:rFonts w:hint="eastAsia" w:asciiTheme="minorEastAsia" w:hAnsiTheme="minorEastAsia" w:eastAsiaTheme="minorEastAsia" w:cstheme="minorEastAsia"/>
          <w:color w:val="auto"/>
          <w:sz w:val="21"/>
          <w:szCs w:val="21"/>
          <w:highlight w:val="none"/>
          <w:u w:val="none"/>
          <w:lang w:val="en-US" w:eastAsia="zh-CN"/>
        </w:rPr>
        <w:t>18</w:t>
      </w:r>
      <w:r>
        <w:rPr>
          <w:rFonts w:hint="eastAsia" w:asciiTheme="minorEastAsia" w:hAnsiTheme="minorEastAsia" w:eastAsiaTheme="minorEastAsia" w:cstheme="minorEastAsia"/>
          <w:color w:val="auto"/>
          <w:sz w:val="21"/>
          <w:szCs w:val="21"/>
          <w:highlight w:val="none"/>
          <w:u w:val="none"/>
        </w:rPr>
        <w:t>万元</w:t>
      </w:r>
    </w:p>
    <w:p>
      <w:p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7.采购需求：住房办证房屋安全鉴定。涉及住房规模约51251.19平方米，其中住房343套46119.85平方米，配套用房1770.12平方米，地下室3361.22平方米。</w:t>
      </w:r>
      <w:r>
        <w:rPr>
          <w:rFonts w:hint="eastAsia" w:asciiTheme="minorEastAsia" w:hAnsiTheme="minorEastAsia" w:eastAsiaTheme="minorEastAsia" w:cstheme="minorEastAsia"/>
          <w:color w:val="auto"/>
          <w:sz w:val="21"/>
          <w:szCs w:val="21"/>
          <w:highlight w:val="none"/>
          <w:u w:val="none"/>
        </w:rPr>
        <w:t>(详见采购文件第三章“项目采购需求”）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1</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类别：</w:t>
      </w:r>
      <w:r>
        <w:rPr>
          <w:rFonts w:hint="eastAsia" w:asciiTheme="minorEastAsia" w:hAnsiTheme="minorEastAsia" w:eastAsiaTheme="minorEastAsia" w:cstheme="minorEastAsia"/>
          <w:b w:val="0"/>
          <w:bCs w:val="0"/>
          <w:color w:val="auto"/>
          <w:kern w:val="2"/>
          <w:sz w:val="21"/>
          <w:szCs w:val="21"/>
          <w:highlight w:val="none"/>
          <w:u w:val="none"/>
          <w:lang w:val="en-US" w:eastAsia="zh-CN" w:bidi="ar-SA"/>
        </w:rPr>
        <w:t>服务</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lang w:eastAsia="zh-CN"/>
        </w:rPr>
        <w:t>）其他</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eastAsia="zh-CN"/>
        </w:rPr>
        <w:t>供应商</w:t>
      </w:r>
      <w:r>
        <w:rPr>
          <w:rFonts w:hint="eastAsia" w:asciiTheme="minorEastAsia" w:hAnsiTheme="minorEastAsia" w:eastAsiaTheme="minorEastAsia" w:cstheme="minorEastAsia"/>
          <w:color w:val="auto"/>
          <w:sz w:val="21"/>
          <w:szCs w:val="21"/>
          <w:highlight w:val="none"/>
          <w:u w:val="none"/>
        </w:rPr>
        <w:t>参加</w:t>
      </w:r>
      <w:r>
        <w:rPr>
          <w:rFonts w:hint="eastAsia" w:asciiTheme="minorEastAsia" w:hAnsiTheme="minorEastAsia" w:eastAsiaTheme="minorEastAsia" w:cstheme="minorEastAsia"/>
          <w:color w:val="auto"/>
          <w:sz w:val="21"/>
          <w:szCs w:val="21"/>
          <w:highlight w:val="none"/>
          <w:u w:val="none"/>
          <w:lang w:eastAsia="zh-CN"/>
        </w:rPr>
        <w:t>竞标</w:t>
      </w:r>
      <w:r>
        <w:rPr>
          <w:rFonts w:hint="eastAsia" w:asciiTheme="minorEastAsia" w:hAnsiTheme="minorEastAsia" w:eastAsiaTheme="minorEastAsia" w:cstheme="minorEastAsia"/>
          <w:color w:val="auto"/>
          <w:sz w:val="21"/>
          <w:szCs w:val="21"/>
          <w:highlight w:val="none"/>
          <w:u w:val="none"/>
        </w:rPr>
        <w:t>的报价超过该包采购最高限价的，该包</w:t>
      </w:r>
      <w:r>
        <w:rPr>
          <w:rFonts w:hint="eastAsia" w:asciiTheme="minorEastAsia" w:hAnsiTheme="minorEastAsia" w:eastAsiaTheme="minorEastAsia" w:cstheme="minorEastAsia"/>
          <w:color w:val="auto"/>
          <w:sz w:val="21"/>
          <w:szCs w:val="21"/>
          <w:highlight w:val="none"/>
          <w:u w:val="none"/>
          <w:lang w:eastAsia="zh-CN"/>
        </w:rPr>
        <w:t>竞标</w:t>
      </w:r>
      <w:r>
        <w:rPr>
          <w:rFonts w:hint="eastAsia" w:asciiTheme="minorEastAsia" w:hAnsiTheme="minorEastAsia" w:eastAsiaTheme="minorEastAsia" w:cstheme="minorEastAsia"/>
          <w:color w:val="auto"/>
          <w:sz w:val="21"/>
          <w:szCs w:val="21"/>
          <w:highlight w:val="none"/>
          <w:u w:val="none"/>
        </w:rPr>
        <w:t>无效；</w:t>
      </w:r>
      <w:r>
        <w:rPr>
          <w:rFonts w:hint="eastAsia" w:asciiTheme="minorEastAsia" w:hAnsiTheme="minorEastAsia" w:eastAsiaTheme="minorEastAsia" w:cstheme="minorEastAsia"/>
          <w:color w:val="auto"/>
          <w:sz w:val="21"/>
          <w:szCs w:val="21"/>
          <w:highlight w:val="none"/>
          <w:u w:val="none"/>
          <w:lang w:eastAsia="zh-CN"/>
        </w:rPr>
        <w:t>供应商</w:t>
      </w:r>
      <w:r>
        <w:rPr>
          <w:rFonts w:hint="eastAsia" w:asciiTheme="minorEastAsia" w:hAnsiTheme="minorEastAsia" w:eastAsiaTheme="minorEastAsia" w:cstheme="minorEastAsia"/>
          <w:color w:val="auto"/>
          <w:sz w:val="21"/>
          <w:szCs w:val="21"/>
          <w:highlight w:val="none"/>
          <w:u w:val="none"/>
        </w:rPr>
        <w:t>报价须包含该采购</w:t>
      </w:r>
      <w:r>
        <w:rPr>
          <w:rFonts w:hint="eastAsia" w:asciiTheme="minorEastAsia" w:hAnsiTheme="minorEastAsia" w:eastAsiaTheme="minorEastAsia" w:cstheme="minorEastAsia"/>
          <w:color w:val="auto"/>
          <w:sz w:val="21"/>
          <w:szCs w:val="21"/>
          <w:highlight w:val="none"/>
          <w:u w:val="none"/>
          <w:lang w:eastAsia="zh-CN"/>
        </w:rPr>
        <w:t>需求</w:t>
      </w:r>
      <w:r>
        <w:rPr>
          <w:rFonts w:hint="eastAsia" w:asciiTheme="minorEastAsia" w:hAnsiTheme="minorEastAsia" w:eastAsiaTheme="minorEastAsia" w:cstheme="minorEastAsia"/>
          <w:color w:val="auto"/>
          <w:sz w:val="21"/>
          <w:szCs w:val="21"/>
          <w:highlight w:val="none"/>
          <w:u w:val="none"/>
        </w:rPr>
        <w:t>的全部内容</w:t>
      </w:r>
      <w:r>
        <w:rPr>
          <w:rFonts w:hint="eastAsia" w:asciiTheme="minorEastAsia" w:hAnsiTheme="minorEastAsia" w:eastAsiaTheme="minorEastAsia" w:cstheme="minorEastAsia"/>
          <w:color w:val="auto"/>
          <w:sz w:val="21"/>
          <w:szCs w:val="21"/>
          <w:highlight w:val="none"/>
          <w:u w:val="none"/>
          <w:lang w:eastAsia="zh-CN"/>
        </w:rPr>
        <w:t>。</w:t>
      </w:r>
    </w:p>
    <w:p>
      <w:pPr>
        <w:numPr>
          <w:ilvl w:val="0"/>
          <w:numId w:val="0"/>
        </w:numPr>
        <w:spacing w:line="360" w:lineRule="auto"/>
        <w:jc w:val="left"/>
        <w:rPr>
          <w:rFonts w:hint="eastAsia" w:asciiTheme="minorEastAsia" w:hAnsiTheme="minorEastAsia" w:eastAsiaTheme="minorEastAsia" w:cstheme="minorEastAsia"/>
          <w:strike/>
          <w:dstrike w:val="0"/>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8.</w:t>
      </w:r>
      <w:r>
        <w:rPr>
          <w:rFonts w:hint="eastAsia" w:asciiTheme="minorEastAsia" w:hAnsiTheme="minorEastAsia" w:eastAsiaTheme="minorEastAsia" w:cstheme="minorEastAsia"/>
          <w:color w:val="auto"/>
          <w:sz w:val="21"/>
          <w:szCs w:val="21"/>
          <w:highlight w:val="none"/>
          <w:u w:val="none"/>
        </w:rPr>
        <w:t>合同履行期限</w:t>
      </w:r>
      <w:r>
        <w:rPr>
          <w:rFonts w:hint="eastAsia" w:asciiTheme="minorEastAsia" w:hAnsiTheme="minorEastAsia" w:eastAsiaTheme="minorEastAsia" w:cstheme="minorEastAsia"/>
          <w:color w:val="auto"/>
          <w:sz w:val="21"/>
          <w:szCs w:val="21"/>
          <w:highlight w:val="none"/>
          <w:u w:val="none"/>
          <w:lang w:eastAsia="zh-CN"/>
        </w:rPr>
        <w:t>：</w:t>
      </w:r>
      <w:r>
        <w:rPr>
          <w:rFonts w:hint="eastAsia" w:ascii="宋体" w:hAnsi="宋体" w:eastAsia="宋体" w:cs="宋体"/>
          <w:color w:val="auto"/>
          <w:sz w:val="21"/>
          <w:szCs w:val="21"/>
          <w:highlight w:val="none"/>
          <w:lang w:eastAsia="zh-CN"/>
        </w:rPr>
        <w:t>维修维</w:t>
      </w:r>
      <w:r>
        <w:rPr>
          <w:rFonts w:hint="eastAsia" w:ascii="宋体" w:hAnsi="宋体" w:eastAsia="宋体" w:cs="宋体"/>
          <w:color w:val="auto"/>
          <w:sz w:val="21"/>
          <w:szCs w:val="21"/>
          <w:highlight w:val="none"/>
          <w:u w:val="none"/>
          <w:lang w:eastAsia="zh-CN"/>
        </w:rPr>
        <w:t>保</w:t>
      </w:r>
      <w:r>
        <w:rPr>
          <w:rFonts w:hint="eastAsia" w:ascii="宋体" w:hAnsi="宋体" w:eastAsia="宋体" w:cs="宋体"/>
          <w:color w:val="auto"/>
          <w:sz w:val="21"/>
          <w:szCs w:val="21"/>
          <w:highlight w:val="none"/>
          <w:u w:val="none"/>
          <w:lang w:val="en-US" w:eastAsia="zh-CN"/>
        </w:rPr>
        <w:t>服务期，</w:t>
      </w:r>
      <w:r>
        <w:rPr>
          <w:rFonts w:hint="eastAsia" w:ascii="宋体" w:hAnsi="宋体" w:eastAsia="宋体" w:cs="宋体"/>
          <w:color w:val="auto"/>
          <w:sz w:val="21"/>
          <w:szCs w:val="21"/>
          <w:highlight w:val="none"/>
          <w:u w:val="none"/>
          <w:lang w:eastAsia="zh-CN"/>
        </w:rPr>
        <w:t>自</w:t>
      </w:r>
      <w:r>
        <w:rPr>
          <w:rFonts w:hint="eastAsia" w:ascii="宋体" w:hAnsi="宋体" w:eastAsia="宋体" w:cs="宋体"/>
          <w:color w:val="auto"/>
          <w:sz w:val="21"/>
          <w:szCs w:val="21"/>
          <w:highlight w:val="none"/>
          <w:u w:val="none"/>
          <w:lang w:val="en-US" w:eastAsia="zh-CN"/>
        </w:rPr>
        <w:t>签订合同之日起</w:t>
      </w:r>
      <w:r>
        <w:rPr>
          <w:rFonts w:hint="eastAsia" w:ascii="宋体" w:hAnsi="宋体" w:cs="宋体"/>
          <w:color w:val="auto"/>
          <w:sz w:val="21"/>
          <w:szCs w:val="21"/>
          <w:highlight w:val="none"/>
          <w:u w:val="none"/>
          <w:lang w:val="en-US" w:eastAsia="zh-CN"/>
        </w:rPr>
        <w:t>7日历天内完成</w:t>
      </w:r>
      <w:r>
        <w:rPr>
          <w:rFonts w:hint="eastAsia" w:ascii="宋体" w:hAnsi="宋体" w:eastAsia="宋体" w:cs="宋体"/>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lang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p>
    <w:p>
      <w:pPr>
        <w:numPr>
          <w:ilvl w:val="0"/>
          <w:numId w:val="0"/>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2" w:name="_Toc17508"/>
      <w:r>
        <w:rPr>
          <w:rFonts w:hint="eastAsia" w:asciiTheme="minorEastAsia" w:hAnsiTheme="minorEastAsia" w:eastAsiaTheme="minorEastAsia" w:cstheme="minorEastAsia"/>
          <w:color w:val="auto"/>
          <w:sz w:val="21"/>
          <w:szCs w:val="21"/>
          <w:highlight w:val="none"/>
          <w:u w:val="none"/>
          <w:lang w:val="en-US" w:eastAsia="zh-CN"/>
        </w:rPr>
        <w:t>9.本项目（是/否）接受联合体投标：否</w:t>
      </w:r>
    </w:p>
    <w:p>
      <w:pPr>
        <w:numPr>
          <w:ilvl w:val="0"/>
          <w:numId w:val="0"/>
        </w:num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10</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是否可采购进口产品：否</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申请人的资格要求</w:t>
      </w:r>
      <w:bookmarkEnd w:id="2"/>
    </w:p>
    <w:p>
      <w:pPr>
        <w:numPr>
          <w:ilvl w:val="0"/>
          <w:numId w:val="6"/>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u w:val="none"/>
        </w:rPr>
      </w:pPr>
      <w:bookmarkStart w:id="3" w:name="_Toc334539185"/>
      <w:r>
        <w:rPr>
          <w:rFonts w:hint="eastAsia" w:asciiTheme="minorEastAsia" w:hAnsiTheme="minorEastAsia" w:eastAsiaTheme="minorEastAsia" w:cstheme="minorEastAsia"/>
          <w:color w:val="auto"/>
          <w:sz w:val="21"/>
          <w:szCs w:val="21"/>
          <w:highlight w:val="none"/>
          <w:u w:val="none"/>
        </w:rPr>
        <w:t>满足《中华人民共和国政府采购法》第二十二条规定；</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1</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具有独立承担民事责任的能力；</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具有良好的商业信誉和健全的财务会计制度；</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3</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具有履行合同所必需的设备和专业技术能力；</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4</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有依法缴纳税收和社会保障资金的良好记录；</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5</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参加政府采购活动前三年内，在经营活动中没有重大违法记录</w:t>
      </w:r>
      <w:r>
        <w:rPr>
          <w:rFonts w:hint="eastAsia" w:asciiTheme="minorEastAsia" w:hAnsiTheme="minorEastAsia" w:eastAsiaTheme="minorEastAsia" w:cstheme="minorEastAsia"/>
          <w:color w:val="auto"/>
          <w:sz w:val="21"/>
          <w:szCs w:val="21"/>
          <w:highlight w:val="none"/>
          <w:u w:val="none"/>
          <w:lang w:eastAsia="zh-CN"/>
        </w:rPr>
        <w:t>；</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法律、行政法规规定的其他条件；</w:t>
      </w:r>
    </w:p>
    <w:p>
      <w:pPr>
        <w:numPr>
          <w:ilvl w:val="0"/>
          <w:numId w:val="6"/>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单位负责人为同一人或者存在直接控股、管理关系的不同</w:t>
      </w:r>
      <w:r>
        <w:rPr>
          <w:rFonts w:hint="eastAsia" w:asciiTheme="minorEastAsia" w:hAnsiTheme="minorEastAsia" w:eastAsiaTheme="minorEastAsia" w:cstheme="minorEastAsia"/>
          <w:color w:val="auto"/>
          <w:sz w:val="21"/>
          <w:szCs w:val="21"/>
          <w:highlight w:val="none"/>
          <w:u w:val="none"/>
          <w:lang w:eastAsia="zh-CN"/>
        </w:rPr>
        <w:t>供应商</w:t>
      </w:r>
      <w:r>
        <w:rPr>
          <w:rFonts w:hint="eastAsia" w:asciiTheme="minorEastAsia" w:hAnsiTheme="minorEastAsia" w:eastAsiaTheme="minorEastAsia" w:cstheme="minorEastAsia"/>
          <w:color w:val="auto"/>
          <w:sz w:val="21"/>
          <w:szCs w:val="21"/>
          <w:highlight w:val="none"/>
          <w:u w:val="none"/>
        </w:rPr>
        <w:t>，不得参加本项目同一合同项下的政府采购活动。</w:t>
      </w:r>
    </w:p>
    <w:p>
      <w:pPr>
        <w:numPr>
          <w:ilvl w:val="0"/>
          <w:numId w:val="6"/>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为本采购项目提供整体设计、规范编制或者项目管理、监理、检测等服务的，不得再参加本项目的其他招标采购活动。</w:t>
      </w:r>
    </w:p>
    <w:p>
      <w:pPr>
        <w:numPr>
          <w:ilvl w:val="0"/>
          <w:numId w:val="6"/>
        </w:numPr>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未被列入失信被执行人、重大税收违法案件当事人名单，未被列入政府采购严重违法失信行为记录名单。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5.1供应商须具备有效的建设工程质量检测机构资质证书、检验检测机构资质认定证书，检测范围应包含但不限于地基基础、主体结构等。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210" w:firstLineChars="100"/>
        <w:jc w:val="left"/>
        <w:textAlignment w:val="auto"/>
        <w:outlineLvl w:val="9"/>
        <w:rPr>
          <w:rFonts w:hint="default"/>
          <w:color w:val="auto"/>
          <w:lang w:val="en-US"/>
        </w:rPr>
      </w:pPr>
      <w:r>
        <w:rPr>
          <w:rFonts w:hint="eastAsia" w:asciiTheme="minorEastAsia" w:hAnsiTheme="minorEastAsia" w:eastAsiaTheme="minorEastAsia" w:cstheme="minorEastAsia"/>
          <w:b w:val="0"/>
          <w:bCs w:val="0"/>
          <w:color w:val="auto"/>
          <w:sz w:val="21"/>
          <w:szCs w:val="21"/>
          <w:highlight w:val="none"/>
          <w:u w:val="none"/>
          <w:lang w:val="en-US" w:eastAsia="zh-CN"/>
        </w:rPr>
        <w:t>5.2供应商应在 2021 年武汉市房屋安全鉴定单位名录中（武房发【2021】17 号）。</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4" w:name="_Toc25492"/>
      <w:r>
        <w:rPr>
          <w:rFonts w:hint="eastAsia" w:asciiTheme="minorEastAsia" w:hAnsiTheme="minorEastAsia" w:eastAsiaTheme="minorEastAsia" w:cstheme="minorEastAsia"/>
          <w:color w:val="auto"/>
          <w:sz w:val="21"/>
          <w:szCs w:val="21"/>
          <w:highlight w:val="none"/>
          <w:u w:val="none"/>
        </w:rPr>
        <w:t>获取</w:t>
      </w:r>
      <w:r>
        <w:rPr>
          <w:rFonts w:hint="eastAsia" w:asciiTheme="minorEastAsia" w:hAnsiTheme="minorEastAsia" w:eastAsiaTheme="minorEastAsia" w:cstheme="minorEastAsia"/>
          <w:color w:val="auto"/>
          <w:sz w:val="21"/>
          <w:szCs w:val="21"/>
          <w:highlight w:val="none"/>
          <w:u w:val="none"/>
          <w:lang w:eastAsia="zh-CN"/>
        </w:rPr>
        <w:t>采购</w:t>
      </w:r>
      <w:r>
        <w:rPr>
          <w:rFonts w:hint="eastAsia" w:asciiTheme="minorEastAsia" w:hAnsiTheme="minorEastAsia" w:eastAsiaTheme="minorEastAsia" w:cstheme="minorEastAsia"/>
          <w:color w:val="auto"/>
          <w:sz w:val="21"/>
          <w:szCs w:val="21"/>
          <w:highlight w:val="none"/>
          <w:u w:val="none"/>
        </w:rPr>
        <w:t>文件</w:t>
      </w:r>
      <w:bookmarkEnd w:id="4"/>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时间：</w:t>
      </w:r>
      <w:r>
        <w:rPr>
          <w:rFonts w:hint="eastAsia" w:asciiTheme="minorEastAsia" w:hAnsiTheme="minorEastAsia" w:eastAsiaTheme="minorEastAsia" w:cstheme="minorEastAsia"/>
          <w:color w:val="auto"/>
          <w:sz w:val="21"/>
          <w:szCs w:val="21"/>
          <w:highlight w:val="none"/>
          <w:u w:val="none"/>
          <w:lang w:val="en-US" w:eastAsia="zh-CN"/>
        </w:rPr>
        <w:t>2023</w:t>
      </w:r>
      <w:r>
        <w:rPr>
          <w:rFonts w:hint="eastAsia" w:asciiTheme="minorEastAsia" w:hAnsiTheme="minorEastAsia" w:eastAsiaTheme="minorEastAsia" w:cstheme="minorEastAsia"/>
          <w:color w:val="auto"/>
          <w:sz w:val="21"/>
          <w:szCs w:val="21"/>
          <w:highlight w:val="none"/>
          <w:u w:val="none"/>
        </w:rPr>
        <w:t>年</w:t>
      </w:r>
      <w:r>
        <w:rPr>
          <w:rFonts w:hint="eastAsia" w:asciiTheme="minorEastAsia" w:hAnsiTheme="minorEastAsia" w:eastAsiaTheme="minorEastAsia" w:cstheme="minorEastAsia"/>
          <w:color w:val="auto"/>
          <w:sz w:val="21"/>
          <w:szCs w:val="21"/>
          <w:highlight w:val="none"/>
          <w:u w:val="none"/>
          <w:lang w:val="en-US" w:eastAsia="zh-CN"/>
        </w:rPr>
        <w:t>1</w:t>
      </w:r>
      <w:r>
        <w:rPr>
          <w:rFonts w:hint="eastAsia" w:asciiTheme="minorEastAsia" w:hAnsiTheme="minorEastAsia" w:eastAsiaTheme="minorEastAsia" w:cstheme="minorEastAsia"/>
          <w:color w:val="auto"/>
          <w:sz w:val="21"/>
          <w:szCs w:val="21"/>
          <w:highlight w:val="none"/>
          <w:u w:val="none"/>
        </w:rPr>
        <w:t>月</w:t>
      </w:r>
      <w:r>
        <w:rPr>
          <w:rFonts w:hint="eastAsia" w:asciiTheme="minorEastAsia" w:hAnsiTheme="minorEastAsia" w:eastAsiaTheme="minorEastAsia" w:cstheme="minorEastAsia"/>
          <w:color w:val="auto"/>
          <w:sz w:val="21"/>
          <w:szCs w:val="21"/>
          <w:highlight w:val="none"/>
          <w:u w:val="none"/>
          <w:lang w:val="en-US" w:eastAsia="zh-CN"/>
        </w:rPr>
        <w:t>9</w:t>
      </w:r>
      <w:r>
        <w:rPr>
          <w:rFonts w:hint="eastAsia" w:asciiTheme="minorEastAsia" w:hAnsiTheme="minorEastAsia" w:eastAsiaTheme="minorEastAsia" w:cstheme="minorEastAsia"/>
          <w:color w:val="auto"/>
          <w:sz w:val="21"/>
          <w:szCs w:val="21"/>
          <w:highlight w:val="none"/>
          <w:u w:val="none"/>
        </w:rPr>
        <w:t>日至</w:t>
      </w:r>
      <w:r>
        <w:rPr>
          <w:rFonts w:hint="eastAsia" w:asciiTheme="minorEastAsia" w:hAnsiTheme="minorEastAsia" w:eastAsiaTheme="minorEastAsia" w:cstheme="minorEastAsia"/>
          <w:color w:val="auto"/>
          <w:sz w:val="21"/>
          <w:szCs w:val="21"/>
          <w:highlight w:val="none"/>
          <w:u w:val="none"/>
          <w:lang w:val="en-US" w:eastAsia="zh-CN"/>
        </w:rPr>
        <w:t>2023</w:t>
      </w:r>
      <w:r>
        <w:rPr>
          <w:rFonts w:hint="eastAsia" w:asciiTheme="minorEastAsia" w:hAnsiTheme="minorEastAsia" w:eastAsiaTheme="minorEastAsia" w:cstheme="minorEastAsia"/>
          <w:color w:val="auto"/>
          <w:sz w:val="21"/>
          <w:szCs w:val="21"/>
          <w:highlight w:val="none"/>
          <w:u w:val="none"/>
        </w:rPr>
        <w:t>年</w:t>
      </w:r>
      <w:r>
        <w:rPr>
          <w:rFonts w:hint="eastAsia" w:asciiTheme="minorEastAsia" w:hAnsiTheme="minorEastAsia" w:eastAsiaTheme="minorEastAsia" w:cstheme="minorEastAsia"/>
          <w:color w:val="auto"/>
          <w:sz w:val="21"/>
          <w:szCs w:val="21"/>
          <w:highlight w:val="none"/>
          <w:u w:val="none"/>
          <w:lang w:val="en-US" w:eastAsia="zh-CN"/>
        </w:rPr>
        <w:t>1</w:t>
      </w:r>
      <w:r>
        <w:rPr>
          <w:rFonts w:hint="eastAsia" w:asciiTheme="minorEastAsia" w:hAnsiTheme="minorEastAsia" w:eastAsiaTheme="minorEastAsia" w:cstheme="minorEastAsia"/>
          <w:color w:val="auto"/>
          <w:sz w:val="21"/>
          <w:szCs w:val="21"/>
          <w:highlight w:val="none"/>
          <w:u w:val="none"/>
        </w:rPr>
        <w:t>月</w:t>
      </w:r>
      <w:r>
        <w:rPr>
          <w:rFonts w:hint="eastAsia" w:asciiTheme="minorEastAsia" w:hAnsiTheme="minorEastAsia" w:eastAsiaTheme="minorEastAsia" w:cstheme="minorEastAsia"/>
          <w:color w:val="auto"/>
          <w:sz w:val="21"/>
          <w:szCs w:val="21"/>
          <w:highlight w:val="none"/>
          <w:u w:val="none"/>
          <w:lang w:val="en-US" w:eastAsia="zh-CN"/>
        </w:rPr>
        <w:t>11</w:t>
      </w:r>
      <w:r>
        <w:rPr>
          <w:rFonts w:hint="eastAsia" w:asciiTheme="minorEastAsia" w:hAnsiTheme="minorEastAsia" w:eastAsiaTheme="minorEastAsia" w:cstheme="minorEastAsia"/>
          <w:color w:val="auto"/>
          <w:sz w:val="21"/>
          <w:szCs w:val="21"/>
          <w:highlight w:val="none"/>
          <w:u w:val="none"/>
        </w:rPr>
        <w:t>日，每天上午</w:t>
      </w:r>
      <w:r>
        <w:rPr>
          <w:rFonts w:hint="eastAsia" w:asciiTheme="minorEastAsia" w:hAnsiTheme="minorEastAsia" w:eastAsiaTheme="minorEastAsia" w:cstheme="minorEastAsia"/>
          <w:color w:val="auto"/>
          <w:sz w:val="21"/>
          <w:szCs w:val="21"/>
          <w:highlight w:val="none"/>
          <w:u w:val="none"/>
          <w:lang w:val="en-US" w:eastAsia="zh-CN"/>
        </w:rPr>
        <w:t>09:00</w:t>
      </w:r>
      <w:r>
        <w:rPr>
          <w:rFonts w:hint="eastAsia" w:asciiTheme="minorEastAsia" w:hAnsiTheme="minorEastAsia" w:eastAsiaTheme="minorEastAsia" w:cstheme="minorEastAsia"/>
          <w:color w:val="auto"/>
          <w:sz w:val="21"/>
          <w:szCs w:val="21"/>
          <w:highlight w:val="none"/>
          <w:u w:val="none"/>
        </w:rPr>
        <w:t>至</w:t>
      </w:r>
      <w:r>
        <w:rPr>
          <w:rFonts w:hint="eastAsia" w:asciiTheme="minorEastAsia" w:hAnsiTheme="minorEastAsia" w:eastAsiaTheme="minorEastAsia" w:cstheme="minorEastAsia"/>
          <w:color w:val="auto"/>
          <w:sz w:val="21"/>
          <w:szCs w:val="21"/>
          <w:highlight w:val="none"/>
          <w:u w:val="none"/>
          <w:lang w:val="en-US" w:eastAsia="zh-CN"/>
        </w:rPr>
        <w:t>12:00</w:t>
      </w:r>
      <w:r>
        <w:rPr>
          <w:rFonts w:hint="eastAsia" w:asciiTheme="minorEastAsia" w:hAnsiTheme="minorEastAsia" w:eastAsiaTheme="minorEastAsia" w:cstheme="minorEastAsia"/>
          <w:color w:val="auto"/>
          <w:sz w:val="21"/>
          <w:szCs w:val="21"/>
          <w:highlight w:val="none"/>
          <w:u w:val="none"/>
        </w:rPr>
        <w:t>，下午</w:t>
      </w:r>
      <w:r>
        <w:rPr>
          <w:rFonts w:hint="eastAsia" w:asciiTheme="minorEastAsia" w:hAnsiTheme="minorEastAsia" w:eastAsiaTheme="minorEastAsia" w:cstheme="minorEastAsia"/>
          <w:color w:val="auto"/>
          <w:sz w:val="21"/>
          <w:szCs w:val="21"/>
          <w:highlight w:val="none"/>
          <w:u w:val="none"/>
          <w:lang w:val="en-US" w:eastAsia="zh-CN"/>
        </w:rPr>
        <w:t>14:30</w:t>
      </w:r>
      <w:r>
        <w:rPr>
          <w:rFonts w:hint="eastAsia" w:asciiTheme="minorEastAsia" w:hAnsiTheme="minorEastAsia" w:eastAsiaTheme="minorEastAsia" w:cstheme="minorEastAsia"/>
          <w:color w:val="auto"/>
          <w:sz w:val="21"/>
          <w:szCs w:val="21"/>
          <w:highlight w:val="none"/>
          <w:u w:val="none"/>
        </w:rPr>
        <w:t>至</w:t>
      </w:r>
      <w:r>
        <w:rPr>
          <w:rFonts w:hint="eastAsia" w:asciiTheme="minorEastAsia" w:hAnsiTheme="minorEastAsia" w:eastAsiaTheme="minorEastAsia" w:cstheme="minorEastAsia"/>
          <w:color w:val="auto"/>
          <w:sz w:val="21"/>
          <w:szCs w:val="21"/>
          <w:highlight w:val="none"/>
          <w:u w:val="none"/>
          <w:lang w:val="en-US" w:eastAsia="zh-CN"/>
        </w:rPr>
        <w:t>17:00</w:t>
      </w:r>
      <w:r>
        <w:rPr>
          <w:rFonts w:hint="eastAsia" w:asciiTheme="minorEastAsia" w:hAnsiTheme="minorEastAsia" w:eastAsiaTheme="minorEastAsia" w:cstheme="minorEastAsia"/>
          <w:color w:val="auto"/>
          <w:sz w:val="21"/>
          <w:szCs w:val="21"/>
          <w:highlight w:val="none"/>
          <w:u w:val="none"/>
        </w:rPr>
        <w:t>（北京时间，法定节假日除外）</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地点：武昌区中北路岳家嘴立交山河企业大厦</w:t>
      </w:r>
      <w:r>
        <w:rPr>
          <w:rFonts w:hint="eastAsia" w:asciiTheme="minorEastAsia" w:hAnsiTheme="minorEastAsia" w:eastAsiaTheme="minorEastAsia" w:cstheme="minorEastAsia"/>
          <w:color w:val="auto"/>
          <w:sz w:val="21"/>
          <w:szCs w:val="21"/>
          <w:highlight w:val="none"/>
          <w:u w:val="none"/>
          <w:lang w:val="en-US" w:eastAsia="zh-CN"/>
        </w:rPr>
        <w:t>48楼</w:t>
      </w:r>
      <w:r>
        <w:rPr>
          <w:rFonts w:hint="eastAsia" w:asciiTheme="minorEastAsia" w:hAnsiTheme="minorEastAsia" w:eastAsiaTheme="minorEastAsia" w:cstheme="minorEastAsia"/>
          <w:color w:val="auto"/>
          <w:sz w:val="21"/>
          <w:szCs w:val="21"/>
          <w:highlight w:val="none"/>
          <w:u w:val="none"/>
        </w:rPr>
        <w:t>4805室；</w:t>
      </w:r>
    </w:p>
    <w:bookmarkEnd w:id="3"/>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线上获取：</w:t>
      </w:r>
      <w:r>
        <w:rPr>
          <w:rFonts w:hint="eastAsia" w:asciiTheme="minorEastAsia" w:hAnsiTheme="minorEastAsia" w:eastAsiaTheme="minorEastAsia" w:cstheme="minorEastAsia"/>
          <w:color w:val="auto"/>
          <w:sz w:val="21"/>
          <w:szCs w:val="21"/>
          <w:highlight w:val="none"/>
          <w:u w:val="none"/>
        </w:rPr>
        <w:fldChar w:fldCharType="begin"/>
      </w:r>
      <w:r>
        <w:rPr>
          <w:rFonts w:hint="eastAsia" w:asciiTheme="minorEastAsia" w:hAnsiTheme="minorEastAsia" w:eastAsiaTheme="minorEastAsia" w:cstheme="minorEastAsia"/>
          <w:color w:val="auto"/>
          <w:sz w:val="21"/>
          <w:szCs w:val="21"/>
          <w:highlight w:val="none"/>
          <w:u w:val="none"/>
        </w:rPr>
        <w:instrText xml:space="preserve"> HYPERLINK "mailto:因疫情原因，采取网上获取文件的方式，请各供应商将以下附件资料加盖公章扫描后传至2102252595@qq.com【邮件主题名称必须按照如下格式，否则不予受理。项目名称及包号（如有）+公司全称+授权委托人姓名及联系方式】，以邮箱显示收到的时间为准，各供应商递交资料后请耐心等待代理机构工作人员后台确认，资料确认无误的，工作人员会及时联系支付采购文件费用，并发送采购文件。采购文件售后不退，不办理邮寄；" </w:instrText>
      </w:r>
      <w:r>
        <w:rPr>
          <w:rFonts w:hint="eastAsia" w:asciiTheme="minorEastAsia" w:hAnsiTheme="minorEastAsia" w:eastAsiaTheme="minorEastAsia" w:cstheme="minorEastAsia"/>
          <w:color w:val="auto"/>
          <w:sz w:val="21"/>
          <w:szCs w:val="21"/>
          <w:highlight w:val="none"/>
          <w:u w:val="none"/>
        </w:rPr>
        <w:fldChar w:fldCharType="separate"/>
      </w:r>
      <w:r>
        <w:rPr>
          <w:rFonts w:hint="eastAsia" w:asciiTheme="minorEastAsia" w:hAnsiTheme="minorEastAsia" w:eastAsiaTheme="minorEastAsia" w:cstheme="minorEastAsia"/>
          <w:color w:val="auto"/>
          <w:sz w:val="21"/>
          <w:szCs w:val="21"/>
          <w:highlight w:val="none"/>
          <w:u w:val="none"/>
        </w:rPr>
        <w:t>因疫情原因，采取网上获取文件的方式，请各</w:t>
      </w:r>
      <w:r>
        <w:rPr>
          <w:rFonts w:hint="eastAsia" w:asciiTheme="minorEastAsia" w:hAnsiTheme="minorEastAsia" w:eastAsiaTheme="minorEastAsia" w:cstheme="minorEastAsia"/>
          <w:color w:val="auto"/>
          <w:sz w:val="21"/>
          <w:szCs w:val="21"/>
          <w:highlight w:val="none"/>
          <w:u w:val="none"/>
          <w:lang w:eastAsia="zh-CN"/>
        </w:rPr>
        <w:t>供应商</w:t>
      </w:r>
      <w:r>
        <w:rPr>
          <w:rFonts w:hint="eastAsia" w:asciiTheme="minorEastAsia" w:hAnsiTheme="minorEastAsia" w:eastAsiaTheme="minorEastAsia" w:cstheme="minorEastAsia"/>
          <w:color w:val="auto"/>
          <w:sz w:val="21"/>
          <w:szCs w:val="21"/>
          <w:highlight w:val="none"/>
          <w:u w:val="none"/>
        </w:rPr>
        <w:t>将以下附件资料加盖公章扫描后传至2102252595@qq.com【邮件主题名称必须按照如下格式，否则不予受理。项目名称及包号（如有）+公司全称+授权委托人姓名及联系方式】，以邮箱显示收到的时间为准，各</w:t>
      </w:r>
      <w:r>
        <w:rPr>
          <w:rFonts w:hint="eastAsia" w:asciiTheme="minorEastAsia" w:hAnsiTheme="minorEastAsia" w:eastAsiaTheme="minorEastAsia" w:cstheme="minorEastAsia"/>
          <w:color w:val="auto"/>
          <w:sz w:val="21"/>
          <w:szCs w:val="21"/>
          <w:highlight w:val="none"/>
          <w:u w:val="none"/>
          <w:lang w:eastAsia="zh-CN"/>
        </w:rPr>
        <w:t>供应商</w:t>
      </w:r>
      <w:r>
        <w:rPr>
          <w:rFonts w:hint="eastAsia" w:asciiTheme="minorEastAsia" w:hAnsiTheme="minorEastAsia" w:eastAsiaTheme="minorEastAsia" w:cstheme="minorEastAsia"/>
          <w:color w:val="auto"/>
          <w:sz w:val="21"/>
          <w:szCs w:val="21"/>
          <w:highlight w:val="none"/>
          <w:u w:val="none"/>
        </w:rPr>
        <w:t>递交资料后请耐心等待代理机构工作人员后台确认，资料确认无误的，工作人员会及时联系支付采购文件费用，并发送采购文件。采购文件售后不退，不办理邮寄；</w:t>
      </w:r>
      <w:r>
        <w:rPr>
          <w:rFonts w:hint="eastAsia" w:asciiTheme="minorEastAsia" w:hAnsiTheme="minorEastAsia" w:eastAsiaTheme="minorEastAsia" w:cstheme="minorEastAsia"/>
          <w:color w:val="auto"/>
          <w:sz w:val="21"/>
          <w:szCs w:val="21"/>
          <w:highlight w:val="none"/>
          <w:u w:val="none"/>
        </w:rPr>
        <w:fldChar w:fldCharType="end"/>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售价：400(元)；</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5" w:name="_Toc239"/>
      <w:r>
        <w:rPr>
          <w:rFonts w:hint="eastAsia" w:asciiTheme="minorEastAsia" w:hAnsiTheme="minorEastAsia" w:eastAsiaTheme="minorEastAsia" w:cstheme="minorEastAsia"/>
          <w:color w:val="auto"/>
          <w:sz w:val="21"/>
          <w:szCs w:val="21"/>
          <w:highlight w:val="none"/>
          <w:u w:val="none"/>
          <w:lang w:eastAsia="zh-CN"/>
        </w:rPr>
        <w:t>响应文件提交</w:t>
      </w:r>
      <w:bookmarkEnd w:id="5"/>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开始时间：2023年1月13日8点30分（北京时间）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截止时间：2023年1月13日9点30分（北京时间）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地点：武昌区中北路岳家嘴立交山河企业大厦4806室，凡是购买了采购文件且已回复确定参加谈判的潜在供应商，于谈判当日临时放弃竞标的，应及时以电话告知形式通知采购代理机构。</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lang w:eastAsia="zh-CN"/>
        </w:rPr>
      </w:pPr>
      <w:bookmarkStart w:id="6" w:name="_Toc9929"/>
      <w:r>
        <w:rPr>
          <w:rFonts w:hint="eastAsia" w:asciiTheme="minorEastAsia" w:hAnsiTheme="minorEastAsia" w:eastAsiaTheme="minorEastAsia" w:cstheme="minorEastAsia"/>
          <w:color w:val="auto"/>
          <w:sz w:val="21"/>
          <w:szCs w:val="21"/>
          <w:highlight w:val="none"/>
          <w:u w:val="none"/>
          <w:lang w:eastAsia="zh-CN"/>
        </w:rPr>
        <w:t>开启</w:t>
      </w:r>
      <w:bookmarkEnd w:id="6"/>
    </w:p>
    <w:p>
      <w:pPr>
        <w:numPr>
          <w:ilvl w:val="0"/>
          <w:numId w:val="0"/>
        </w:numPr>
        <w:spacing w:line="360" w:lineRule="auto"/>
        <w:ind w:leftChars="0" w:firstLine="420" w:firstLineChars="200"/>
        <w:jc w:val="left"/>
        <w:outlineLvl w:val="9"/>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val="en-US" w:eastAsia="zh-CN"/>
        </w:rPr>
        <w:t>时间：2023年1月13日9点30分</w:t>
      </w:r>
      <w:r>
        <w:rPr>
          <w:rFonts w:hint="eastAsia" w:asciiTheme="minorEastAsia" w:hAnsiTheme="minorEastAsia" w:eastAsiaTheme="minorEastAsia" w:cstheme="minorEastAsia"/>
          <w:color w:val="auto"/>
          <w:sz w:val="21"/>
          <w:szCs w:val="21"/>
          <w:highlight w:val="none"/>
          <w:u w:val="none"/>
          <w:lang w:eastAsia="zh-CN"/>
        </w:rPr>
        <w:t>（北京时间）</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7" w:name="_Toc12137"/>
      <w:r>
        <w:rPr>
          <w:rFonts w:hint="eastAsia" w:asciiTheme="minorEastAsia" w:hAnsiTheme="minorEastAsia" w:eastAsiaTheme="minorEastAsia" w:cstheme="minorEastAsia"/>
          <w:color w:val="auto"/>
          <w:sz w:val="21"/>
          <w:szCs w:val="21"/>
          <w:highlight w:val="none"/>
          <w:u w:val="none"/>
        </w:rPr>
        <w:t>公告期限</w:t>
      </w:r>
      <w:bookmarkEnd w:id="7"/>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eastAsia="zh-CN"/>
        </w:rPr>
      </w:pPr>
      <w:bookmarkStart w:id="8" w:name="_Toc320898024"/>
      <w:bookmarkStart w:id="9" w:name="_Toc276368888"/>
      <w:bookmarkStart w:id="10" w:name="_Toc334539188"/>
      <w:bookmarkStart w:id="11" w:name="_Toc6021"/>
      <w:bookmarkStart w:id="12" w:name="_Toc317262251"/>
      <w:bookmarkStart w:id="13" w:name="_Toc259607751"/>
      <w:r>
        <w:rPr>
          <w:rFonts w:hint="eastAsia" w:asciiTheme="minorEastAsia" w:hAnsiTheme="minorEastAsia" w:eastAsiaTheme="minorEastAsia" w:cstheme="minorEastAsia"/>
          <w:color w:val="auto"/>
          <w:sz w:val="21"/>
          <w:szCs w:val="21"/>
          <w:highlight w:val="none"/>
          <w:u w:val="none"/>
          <w:lang w:val="en-US" w:eastAsia="zh-CN"/>
        </w:rPr>
        <w:t>自本公告发布之日起3个工作日</w:t>
      </w:r>
    </w:p>
    <w:bookmarkEnd w:id="8"/>
    <w:bookmarkEnd w:id="9"/>
    <w:bookmarkEnd w:id="10"/>
    <w:bookmarkEnd w:id="11"/>
    <w:bookmarkEnd w:id="12"/>
    <w:bookmarkEnd w:id="13"/>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14" w:name="_Toc2871"/>
      <w:r>
        <w:rPr>
          <w:rFonts w:hint="eastAsia" w:asciiTheme="minorEastAsia" w:hAnsiTheme="minorEastAsia" w:eastAsiaTheme="minorEastAsia" w:cstheme="minorEastAsia"/>
          <w:color w:val="auto"/>
          <w:sz w:val="21"/>
          <w:szCs w:val="21"/>
          <w:highlight w:val="none"/>
          <w:u w:val="none"/>
        </w:rPr>
        <w:t>其他补充事宜</w:t>
      </w:r>
      <w:bookmarkEnd w:id="14"/>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bookmarkStart w:id="15" w:name="_Toc259028279"/>
      <w:r>
        <w:rPr>
          <w:rFonts w:hint="eastAsia" w:asciiTheme="minorEastAsia" w:hAnsiTheme="minorEastAsia" w:eastAsiaTheme="minorEastAsia" w:cstheme="minorEastAsia"/>
          <w:color w:val="auto"/>
          <w:sz w:val="21"/>
          <w:szCs w:val="21"/>
          <w:highlight w:val="none"/>
          <w:u w:val="none"/>
          <w:lang w:val="en-US" w:eastAsia="zh-CN"/>
        </w:rPr>
        <w:t>1.本项目资金性质为：自筹资金</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2.供应商如需查询技术要求可到我处查阅招标文件第三章相关内容。</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3.本项目将在以下网站发布所有信息，请参加本项目投标的供应商密切关注。</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（一）《中国政府采购网》（网址：</w:t>
      </w:r>
      <w:r>
        <w:rPr>
          <w:rFonts w:hint="eastAsia" w:asciiTheme="minorEastAsia" w:hAnsiTheme="minorEastAsia" w:eastAsiaTheme="minorEastAsia" w:cstheme="minorEastAsia"/>
          <w:color w:val="auto"/>
          <w:sz w:val="21"/>
          <w:szCs w:val="21"/>
          <w:highlight w:val="none"/>
          <w:u w:val="none"/>
        </w:rPr>
        <w:fldChar w:fldCharType="begin"/>
      </w:r>
      <w:r>
        <w:rPr>
          <w:rFonts w:hint="eastAsia" w:asciiTheme="minorEastAsia" w:hAnsiTheme="minorEastAsia" w:eastAsiaTheme="minorEastAsia" w:cstheme="minorEastAsia"/>
          <w:color w:val="auto"/>
          <w:sz w:val="21"/>
          <w:szCs w:val="21"/>
          <w:highlight w:val="none"/>
          <w:u w:val="none"/>
        </w:rPr>
        <w:instrText xml:space="preserve"> HYPERLINK "http://www.ccgp.gov.cn/）" </w:instrText>
      </w:r>
      <w:r>
        <w:rPr>
          <w:rFonts w:hint="eastAsia" w:asciiTheme="minorEastAsia" w:hAnsiTheme="minorEastAsia" w:eastAsiaTheme="minorEastAsia" w:cstheme="minorEastAsia"/>
          <w:color w:val="auto"/>
          <w:sz w:val="21"/>
          <w:szCs w:val="21"/>
          <w:highlight w:val="none"/>
          <w:u w:val="none"/>
        </w:rPr>
        <w:fldChar w:fldCharType="separate"/>
      </w:r>
      <w:r>
        <w:rPr>
          <w:rFonts w:hint="eastAsia" w:asciiTheme="minorEastAsia" w:hAnsiTheme="minorEastAsia" w:eastAsiaTheme="minorEastAsia" w:cstheme="minorEastAsia"/>
          <w:color w:val="auto"/>
          <w:sz w:val="21"/>
          <w:szCs w:val="21"/>
          <w:highlight w:val="none"/>
          <w:u w:val="none"/>
        </w:rPr>
        <w:t>http://www.ccgp.gov.cn/）</w:t>
      </w:r>
      <w:r>
        <w:rPr>
          <w:rFonts w:hint="eastAsia" w:asciiTheme="minorEastAsia" w:hAnsiTheme="minorEastAsia" w:eastAsiaTheme="minorEastAsia" w:cstheme="minorEastAsia"/>
          <w:color w:val="auto"/>
          <w:sz w:val="21"/>
          <w:szCs w:val="21"/>
          <w:highlight w:val="none"/>
          <w:u w:val="none"/>
        </w:rPr>
        <w:fldChar w:fldCharType="end"/>
      </w:r>
    </w:p>
    <w:p>
      <w:pPr>
        <w:spacing w:line="360" w:lineRule="auto"/>
        <w:ind w:firstLine="420" w:firstLineChars="200"/>
        <w:jc w:val="left"/>
        <w:rPr>
          <w:rFonts w:hint="eastAsia" w:asciiTheme="minorEastAsia" w:hAnsiTheme="minorEastAsia" w:eastAsiaTheme="minorEastAsia" w:cstheme="minorEastAsia"/>
          <w:b/>
          <w:bCs/>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sz w:val="21"/>
          <w:szCs w:val="21"/>
          <w:highlight w:val="none"/>
          <w:u w:val="none"/>
        </w:rPr>
        <w:t>（二）《中国招标投标公共服务平台》（网址：</w:t>
      </w:r>
      <w:r>
        <w:rPr>
          <w:rFonts w:hint="eastAsia" w:asciiTheme="minorEastAsia" w:hAnsiTheme="minorEastAsia" w:eastAsiaTheme="minorEastAsia" w:cstheme="minorEastAsia"/>
          <w:color w:val="auto"/>
          <w:sz w:val="21"/>
          <w:szCs w:val="21"/>
          <w:highlight w:val="none"/>
          <w:u w:val="none"/>
        </w:rPr>
        <w:fldChar w:fldCharType="begin"/>
      </w:r>
      <w:r>
        <w:rPr>
          <w:rFonts w:hint="eastAsia" w:asciiTheme="minorEastAsia" w:hAnsiTheme="minorEastAsia" w:eastAsiaTheme="minorEastAsia" w:cstheme="minorEastAsia"/>
          <w:color w:val="auto"/>
          <w:sz w:val="21"/>
          <w:szCs w:val="21"/>
          <w:highlight w:val="none"/>
          <w:u w:val="none"/>
        </w:rPr>
        <w:instrText xml:space="preserve"> HYPERLINK "http://www.cebpubservice.com/）" </w:instrText>
      </w:r>
      <w:r>
        <w:rPr>
          <w:rFonts w:hint="eastAsia" w:asciiTheme="minorEastAsia" w:hAnsiTheme="minorEastAsia" w:eastAsiaTheme="minorEastAsia" w:cstheme="minorEastAsia"/>
          <w:color w:val="auto"/>
          <w:sz w:val="21"/>
          <w:szCs w:val="21"/>
          <w:highlight w:val="none"/>
          <w:u w:val="none"/>
        </w:rPr>
        <w:fldChar w:fldCharType="separate"/>
      </w:r>
      <w:r>
        <w:rPr>
          <w:rStyle w:val="33"/>
          <w:rFonts w:hint="eastAsia" w:asciiTheme="minorEastAsia" w:hAnsiTheme="minorEastAsia" w:eastAsiaTheme="minorEastAsia" w:cstheme="minorEastAsia"/>
          <w:color w:val="auto"/>
          <w:sz w:val="21"/>
          <w:szCs w:val="21"/>
          <w:highlight w:val="none"/>
          <w:u w:val="none"/>
        </w:rPr>
        <w:t>http://www.cebpubservice.com/）</w:t>
      </w:r>
      <w:r>
        <w:rPr>
          <w:rFonts w:hint="eastAsia" w:asciiTheme="minorEastAsia" w:hAnsiTheme="minorEastAsia" w:eastAsiaTheme="minorEastAsia" w:cstheme="minorEastAsia"/>
          <w:color w:val="auto"/>
          <w:sz w:val="21"/>
          <w:szCs w:val="21"/>
          <w:highlight w:val="none"/>
          <w:u w:val="none"/>
        </w:rPr>
        <w:fldChar w:fldCharType="end"/>
      </w:r>
    </w:p>
    <w:bookmarkEnd w:id="15"/>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bookmarkStart w:id="16" w:name="_Toc10802"/>
      <w:r>
        <w:rPr>
          <w:rFonts w:hint="eastAsia" w:asciiTheme="minorEastAsia" w:hAnsiTheme="minorEastAsia" w:eastAsiaTheme="minorEastAsia" w:cstheme="minorEastAsia"/>
          <w:color w:val="auto"/>
          <w:sz w:val="21"/>
          <w:szCs w:val="21"/>
          <w:highlight w:val="none"/>
          <w:u w:val="none"/>
        </w:rPr>
        <w:t>凡对本次采购提出询问，请按以下方式联系</w:t>
      </w:r>
      <w:bookmarkEnd w:id="16"/>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1.招标人信息</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名 称：湖北省某部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地 址：湖北省武汉市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联系人：</w:t>
      </w:r>
      <w:r>
        <w:rPr>
          <w:rFonts w:hint="eastAsia" w:asciiTheme="minorEastAsia" w:hAnsiTheme="minorEastAsia" w:eastAsiaTheme="minorEastAsia" w:cstheme="minorEastAsia"/>
          <w:color w:val="auto"/>
          <w:sz w:val="21"/>
          <w:szCs w:val="21"/>
          <w:highlight w:val="none"/>
          <w:u w:val="none"/>
          <w:lang w:eastAsia="zh-CN"/>
        </w:rPr>
        <w:t>刘助理</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联系方式：</w:t>
      </w:r>
      <w:r>
        <w:rPr>
          <w:rFonts w:hint="eastAsia" w:ascii="宋体" w:hAnsi="宋体" w:eastAsia="宋体" w:cs="宋体"/>
          <w:color w:val="auto"/>
          <w:sz w:val="21"/>
          <w:szCs w:val="21"/>
          <w:highlight w:val="none"/>
          <w:lang w:val="en-US" w:eastAsia="zh-CN"/>
        </w:rPr>
        <w:t>027-87779373</w:t>
      </w:r>
      <w:r>
        <w:rPr>
          <w:rFonts w:hint="eastAsia" w:ascii="宋体" w:hAnsi="宋体" w:eastAsia="宋体" w:cs="宋体"/>
          <w:color w:val="auto"/>
          <w:sz w:val="21"/>
          <w:szCs w:val="21"/>
          <w:highlight w:val="none"/>
        </w:rPr>
        <w:t>　　</w:t>
      </w:r>
      <w:r>
        <w:rPr>
          <w:rFonts w:hint="eastAsia" w:asciiTheme="minorEastAsia" w:hAnsiTheme="minorEastAsia" w:eastAsiaTheme="minorEastAsia" w:cstheme="minorEastAsia"/>
          <w:color w:val="auto"/>
          <w:sz w:val="21"/>
          <w:szCs w:val="21"/>
          <w:highlight w:val="none"/>
          <w:u w:val="none"/>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2.采购代理机构信息</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名  称：中经国际招标集团有限公司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地　址：武昌区中北路岳家嘴立交山河企业大厦48楼4805、4806室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联系方式：027-87820788　　　　　　　　　　　　</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3.项目联系方式</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项目联系人：彭盼明</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电    　话：027-87820788</w:t>
      </w:r>
      <w:r>
        <w:rPr>
          <w:rFonts w:hint="eastAsia" w:asciiTheme="minorEastAsia" w:hAnsiTheme="minorEastAsia" w:eastAsiaTheme="minorEastAsia" w:cstheme="minorEastAsia"/>
          <w:color w:val="auto"/>
          <w:sz w:val="21"/>
          <w:szCs w:val="21"/>
          <w:highlight w:val="none"/>
          <w:u w:val="none"/>
          <w:lang w:eastAsia="zh-CN"/>
        </w:rPr>
        <w:t>　　</w:t>
      </w:r>
    </w:p>
    <w:p>
      <w:pPr>
        <w:pStyle w:val="4"/>
        <w:numPr>
          <w:ilvl w:val="0"/>
          <w:numId w:val="5"/>
        </w:num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 xml:space="preserve"> </w:t>
      </w:r>
      <w:bookmarkStart w:id="17" w:name="_Toc15295"/>
      <w:bookmarkStart w:id="18" w:name="_Toc24714"/>
      <w:r>
        <w:rPr>
          <w:rFonts w:hint="eastAsia" w:asciiTheme="minorEastAsia" w:hAnsiTheme="minorEastAsia" w:eastAsiaTheme="minorEastAsia" w:cstheme="minorEastAsia"/>
          <w:color w:val="auto"/>
          <w:sz w:val="21"/>
          <w:szCs w:val="21"/>
          <w:highlight w:val="none"/>
          <w:u w:val="none"/>
        </w:rPr>
        <w:t>注意事项</w:t>
      </w:r>
      <w:bookmarkEnd w:id="17"/>
      <w:bookmarkEnd w:id="18"/>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1.供应商在获取本项目竞争性谈判文件前须仔细阅读资格要求内容，并按谈判文件规定要求在响应文件中递交合格有效的资格证明文件，资格审查资料不合格将导致竞标失败。</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供应商对自己所提供的资格证明材料的真实性负责，无论何时，如发现供应商提供虚假的材料，将按照《中华人民共和国政府采购法》及本项目竞争性谈判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请供应商仔细阅读本谈判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关于本项目谈判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color w:val="auto"/>
          <w:sz w:val="21"/>
          <w:szCs w:val="21"/>
          <w:highlight w:val="none"/>
          <w:u w:val="none"/>
        </w:rPr>
      </w:pPr>
    </w:p>
    <w:p>
      <w:pPr>
        <w:spacing w:line="360" w:lineRule="auto"/>
        <w:jc w:val="righ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中经国际招标集团有限公司</w:t>
      </w:r>
    </w:p>
    <w:p>
      <w:pPr>
        <w:spacing w:line="360" w:lineRule="auto"/>
        <w:jc w:val="righ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2023</w:t>
      </w:r>
      <w:r>
        <w:rPr>
          <w:rFonts w:hint="eastAsia" w:asciiTheme="minorEastAsia" w:hAnsiTheme="minorEastAsia" w:eastAsiaTheme="minorEastAsia" w:cstheme="minorEastAsia"/>
          <w:color w:val="auto"/>
          <w:sz w:val="21"/>
          <w:szCs w:val="21"/>
          <w:highlight w:val="none"/>
          <w:u w:val="none"/>
        </w:rPr>
        <w:t xml:space="preserve"> 年</w:t>
      </w:r>
      <w:r>
        <w:rPr>
          <w:rFonts w:hint="eastAsia" w:asciiTheme="minorEastAsia" w:hAnsiTheme="minorEastAsia" w:eastAsiaTheme="minorEastAsia" w:cstheme="minorEastAsia"/>
          <w:color w:val="auto"/>
          <w:sz w:val="21"/>
          <w:szCs w:val="21"/>
          <w:highlight w:val="none"/>
          <w:u w:val="none"/>
          <w:lang w:val="en-US" w:eastAsia="zh-CN"/>
        </w:rPr>
        <w:t>1</w:t>
      </w:r>
      <w:r>
        <w:rPr>
          <w:rFonts w:hint="eastAsia" w:asciiTheme="minorEastAsia" w:hAnsiTheme="minorEastAsia" w:eastAsiaTheme="minorEastAsia" w:cstheme="minorEastAsia"/>
          <w:color w:val="auto"/>
          <w:sz w:val="21"/>
          <w:szCs w:val="21"/>
          <w:highlight w:val="none"/>
          <w:u w:val="none"/>
        </w:rPr>
        <w:t>月</w:t>
      </w:r>
      <w:r>
        <w:rPr>
          <w:rFonts w:hint="eastAsia" w:asciiTheme="minorEastAsia" w:hAnsiTheme="minorEastAsia" w:eastAsiaTheme="minorEastAsia" w:cstheme="minorEastAsia"/>
          <w:color w:val="auto"/>
          <w:sz w:val="21"/>
          <w:szCs w:val="21"/>
          <w:highlight w:val="none"/>
          <w:u w:val="none"/>
          <w:lang w:val="en-US" w:eastAsia="zh-CN"/>
        </w:rPr>
        <w:t>6</w:t>
      </w:r>
      <w:bookmarkStart w:id="201" w:name="_GoBack"/>
      <w:bookmarkEnd w:id="201"/>
      <w:r>
        <w:rPr>
          <w:rFonts w:hint="eastAsia" w:asciiTheme="minorEastAsia" w:hAnsiTheme="minorEastAsia" w:eastAsiaTheme="minorEastAsia" w:cstheme="minorEastAsia"/>
          <w:color w:val="auto"/>
          <w:sz w:val="21"/>
          <w:szCs w:val="21"/>
          <w:highlight w:val="none"/>
          <w:u w:val="none"/>
        </w:rPr>
        <w:t>日</w:t>
      </w:r>
    </w:p>
    <w:p>
      <w:pPr>
        <w:pStyle w:val="3"/>
        <w:numPr>
          <w:ilvl w:val="0"/>
          <w:numId w:val="4"/>
        </w:num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21"/>
          <w:szCs w:val="21"/>
          <w:highlight w:val="none"/>
          <w:u w:val="none"/>
        </w:rPr>
        <w:br w:type="page"/>
      </w:r>
      <w:bookmarkStart w:id="19" w:name="_Toc27274"/>
      <w:r>
        <w:rPr>
          <w:rFonts w:hint="eastAsia" w:asciiTheme="minorEastAsia" w:hAnsiTheme="minorEastAsia" w:eastAsiaTheme="minorEastAsia" w:cstheme="minorEastAsia"/>
          <w:sz w:val="36"/>
          <w:szCs w:val="36"/>
        </w:rPr>
        <w:t>供应商须知</w:t>
      </w:r>
      <w:bookmarkEnd w:id="19"/>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0" w:name="_Toc26368"/>
      <w:r>
        <w:rPr>
          <w:rFonts w:hint="eastAsia" w:asciiTheme="minorEastAsia" w:hAnsiTheme="minorEastAsia" w:eastAsiaTheme="minorEastAsia" w:cstheme="minorEastAsia"/>
          <w:b/>
          <w:szCs w:val="21"/>
        </w:rPr>
        <w:t>《供应商须知前附表》</w:t>
      </w:r>
      <w:bookmarkEnd w:id="20"/>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供应商应仔细阅读竞争性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3"/>
        <w:gridCol w:w="2124"/>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tblHeader/>
          <w:jc w:val="center"/>
        </w:trPr>
        <w:tc>
          <w:tcPr>
            <w:tcW w:w="813"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条款号</w:t>
            </w:r>
          </w:p>
        </w:tc>
        <w:tc>
          <w:tcPr>
            <w:tcW w:w="212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条款名称</w:t>
            </w:r>
          </w:p>
        </w:tc>
        <w:tc>
          <w:tcPr>
            <w:tcW w:w="6122"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2.1</w:t>
            </w:r>
          </w:p>
        </w:tc>
        <w:tc>
          <w:tcPr>
            <w:tcW w:w="212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采购人</w:t>
            </w:r>
          </w:p>
        </w:tc>
        <w:tc>
          <w:tcPr>
            <w:tcW w:w="6122" w:type="dxa"/>
            <w:vAlign w:val="center"/>
          </w:tcPr>
          <w:p>
            <w:pPr>
              <w:autoSpaceDE w:val="0"/>
              <w:autoSpaceDN w:val="0"/>
              <w:adjustRightInd w:val="0"/>
              <w:jc w:val="left"/>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sz w:val="21"/>
                <w:szCs w:val="21"/>
                <w:highlight w:val="none"/>
              </w:rPr>
              <w:t>湖北省某部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2124" w:type="dxa"/>
            <w:vAlign w:val="center"/>
          </w:tcPr>
          <w:p>
            <w:pPr>
              <w:pStyle w:val="25"/>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监管部门</w:t>
            </w:r>
          </w:p>
        </w:tc>
        <w:tc>
          <w:tcPr>
            <w:tcW w:w="6122" w:type="dxa"/>
            <w:vAlign w:val="center"/>
          </w:tcPr>
          <w:p>
            <w:pPr>
              <w:autoSpaceDE w:val="0"/>
              <w:autoSpaceDN w:val="0"/>
              <w:adjustRightInd w:val="0"/>
              <w:jc w:val="left"/>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sz w:val="21"/>
                <w:szCs w:val="21"/>
                <w:highlight w:val="none"/>
              </w:rPr>
              <w:t>湖北省某部纪检部门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212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采购代理机构</w:t>
            </w:r>
          </w:p>
        </w:tc>
        <w:tc>
          <w:tcPr>
            <w:tcW w:w="6122"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2.5</w:t>
            </w:r>
          </w:p>
        </w:tc>
        <w:tc>
          <w:tcPr>
            <w:tcW w:w="212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谈判供应商</w:t>
            </w:r>
          </w:p>
        </w:tc>
        <w:tc>
          <w:tcPr>
            <w:tcW w:w="6122"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w:t>
            </w:r>
            <w:r>
              <w:rPr>
                <w:rFonts w:hint="eastAsia" w:asciiTheme="minorEastAsia" w:hAnsiTheme="minorEastAsia" w:eastAsiaTheme="minorEastAsia" w:cstheme="minorEastAsia"/>
                <w:color w:val="auto"/>
                <w:sz w:val="21"/>
                <w:szCs w:val="21"/>
                <w:highlight w:val="none"/>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8"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4.2</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招标代理服务费</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根据国家发展与改革委员会办公厅发改办价格【2003】857号文的规定，经与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协商，由</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按国家发展计划委员会计价格【2002】1980号文规定</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取费标准向采购代理机构支付招标代理服务费。招标代理服务费由</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在领取成交通知书的同时，向采购代理机构支付。</w:t>
            </w:r>
            <w:r>
              <w:rPr>
                <w:rFonts w:hint="eastAsia" w:ascii="宋体" w:hAnsi="宋体" w:eastAsia="宋体" w:cs="宋体"/>
                <w:color w:val="auto"/>
                <w:sz w:val="21"/>
                <w:szCs w:val="21"/>
                <w:highlight w:val="none"/>
                <w:lang w:eastAsia="zh-CN"/>
              </w:rPr>
              <w:t>不足肆仟元按肆仟元保底收取，详见中标公告。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3"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6.2</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napToGrid w:val="0"/>
                <w:color w:val="auto"/>
                <w:kern w:val="0"/>
                <w:sz w:val="21"/>
                <w:szCs w:val="21"/>
                <w:highlight w:val="none"/>
                <w:lang w:val="zh-CN"/>
              </w:rPr>
              <w:t>提疑、</w:t>
            </w:r>
            <w:r>
              <w:rPr>
                <w:rFonts w:hint="eastAsia" w:asciiTheme="minorEastAsia" w:hAnsiTheme="minorEastAsia" w:eastAsiaTheme="minorEastAsia" w:cstheme="minorEastAsia"/>
                <w:b w:val="0"/>
                <w:bCs w:val="0"/>
                <w:snapToGrid w:val="0"/>
                <w:color w:val="auto"/>
                <w:kern w:val="0"/>
                <w:sz w:val="21"/>
                <w:szCs w:val="21"/>
                <w:highlight w:val="none"/>
                <w:lang w:val="en-US" w:eastAsia="zh-CN"/>
              </w:rPr>
              <w:t>质疑</w:t>
            </w:r>
            <w:r>
              <w:rPr>
                <w:rFonts w:hint="eastAsia" w:asciiTheme="minorEastAsia" w:hAnsiTheme="minorEastAsia" w:eastAsiaTheme="minorEastAsia" w:cstheme="minorEastAsia"/>
                <w:b w:val="0"/>
                <w:bCs w:val="0"/>
                <w:snapToGrid w:val="0"/>
                <w:color w:val="auto"/>
                <w:kern w:val="0"/>
                <w:sz w:val="21"/>
                <w:szCs w:val="21"/>
                <w:highlight w:val="none"/>
                <w:lang w:val="zh-CN"/>
              </w:rPr>
              <w:t>截止时间</w:t>
            </w:r>
          </w:p>
        </w:tc>
        <w:tc>
          <w:tcPr>
            <w:tcW w:w="6122"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供应商认为谈判文件、谈判过程和成交结果使自己的权益受到损害</w:t>
            </w:r>
          </w:p>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的，可以在知道或者应知其权益受到损害之日起7个工作日内，以</w:t>
            </w:r>
          </w:p>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书面形式向采购人或采购代理机构提出。供应商在法定质疑期内应一次性提出针对同一采购程序环节的质疑事项。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7.1</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供应商确认收到谈判</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时间</w:t>
            </w:r>
          </w:p>
        </w:tc>
        <w:tc>
          <w:tcPr>
            <w:tcW w:w="6122"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3" w:hRule="atLeast"/>
          <w:jc w:val="center"/>
        </w:trPr>
        <w:tc>
          <w:tcPr>
            <w:tcW w:w="8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对多</w:t>
            </w:r>
            <w:r>
              <w:rPr>
                <w:rFonts w:hint="eastAsia" w:asciiTheme="minorEastAsia" w:hAnsiTheme="minorEastAsia" w:eastAsiaTheme="minorEastAsia" w:cstheme="minorEastAsia"/>
                <w:snapToGrid w:val="0"/>
                <w:color w:val="auto"/>
                <w:kern w:val="0"/>
                <w:sz w:val="21"/>
                <w:szCs w:val="21"/>
                <w:highlight w:val="none"/>
                <w:lang w:val="en-US" w:eastAsia="zh-CN"/>
              </w:rPr>
              <w:t>包</w:t>
            </w:r>
            <w:r>
              <w:rPr>
                <w:rFonts w:hint="eastAsia" w:asciiTheme="minorEastAsia" w:hAnsiTheme="minorEastAsia" w:eastAsiaTheme="minorEastAsia" w:cstheme="minorEastAsia"/>
                <w:snapToGrid w:val="0"/>
                <w:color w:val="auto"/>
                <w:kern w:val="0"/>
                <w:sz w:val="21"/>
                <w:szCs w:val="21"/>
                <w:highlight w:val="none"/>
                <w:lang w:val="zh-CN"/>
              </w:rPr>
              <w:t>采购的规定</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详见</w:t>
            </w:r>
            <w:r>
              <w:rPr>
                <w:rFonts w:hint="eastAsia" w:asciiTheme="minorEastAsia" w:hAnsiTheme="minorEastAsia" w:eastAsiaTheme="minorEastAsia" w:cstheme="minorEastAsia"/>
                <w:color w:val="auto"/>
                <w:sz w:val="21"/>
                <w:szCs w:val="21"/>
                <w:highlight w:val="none"/>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12.1</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备选方案</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 xml:space="preserve">本次采购  </w:t>
            </w:r>
            <w:r>
              <w:rPr>
                <w:rFonts w:hint="eastAsia" w:asciiTheme="minorEastAsia" w:hAnsiTheme="minorEastAsia" w:eastAsiaTheme="minorEastAsia" w:cstheme="minorEastAsia"/>
                <w:color w:val="auto"/>
                <w:sz w:val="21"/>
                <w:szCs w:val="21"/>
                <w:highlight w:val="none"/>
                <w:u w:val="single"/>
                <w:lang w:val="zh-CN"/>
              </w:rPr>
              <w:t>不接受</w:t>
            </w:r>
            <w:r>
              <w:rPr>
                <w:rFonts w:hint="eastAsia" w:asciiTheme="minorEastAsia" w:hAnsiTheme="minorEastAsia" w:eastAsiaTheme="minorEastAsia" w:cstheme="minorEastAsia"/>
                <w:color w:val="auto"/>
                <w:sz w:val="21"/>
                <w:szCs w:val="21"/>
                <w:highlight w:val="none"/>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13.1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联合体谈判</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 xml:space="preserve">本次采购  </w:t>
            </w:r>
            <w:r>
              <w:rPr>
                <w:rFonts w:hint="eastAsia" w:asciiTheme="minorEastAsia" w:hAnsiTheme="minorEastAsia" w:eastAsiaTheme="minorEastAsia" w:cstheme="minorEastAsia"/>
                <w:color w:val="auto"/>
                <w:sz w:val="21"/>
                <w:szCs w:val="21"/>
                <w:highlight w:val="none"/>
                <w:u w:val="single"/>
                <w:lang w:val="zh-CN"/>
              </w:rPr>
              <w:t>不接受</w:t>
            </w:r>
            <w:r>
              <w:rPr>
                <w:rFonts w:hint="eastAsia" w:asciiTheme="minorEastAsia" w:hAnsiTheme="minorEastAsia" w:eastAsiaTheme="minorEastAsia" w:cstheme="minorEastAsia"/>
                <w:color w:val="auto"/>
                <w:sz w:val="21"/>
                <w:szCs w:val="21"/>
                <w:highlight w:val="none"/>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7" w:hRule="atLeast"/>
          <w:jc w:val="center"/>
        </w:trPr>
        <w:tc>
          <w:tcPr>
            <w:tcW w:w="813"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应提交的其它资格证明文件（实质性</w:t>
            </w:r>
            <w:r>
              <w:rPr>
                <w:rFonts w:hint="eastAsia" w:asciiTheme="minorEastAsia" w:hAnsiTheme="minorEastAsia" w:eastAsiaTheme="minorEastAsia" w:cstheme="minorEastAsia"/>
                <w:b/>
                <w:bCs/>
                <w:color w:val="auto"/>
                <w:sz w:val="21"/>
                <w:szCs w:val="21"/>
                <w:highlight w:val="none"/>
                <w:lang w:val="en-US" w:eastAsia="zh-CN"/>
              </w:rPr>
              <w:t>内容</w:t>
            </w:r>
            <w:r>
              <w:rPr>
                <w:rFonts w:hint="eastAsia" w:asciiTheme="minorEastAsia" w:hAnsiTheme="minorEastAsia" w:eastAsiaTheme="minorEastAsia" w:cstheme="minorEastAsia"/>
                <w:b/>
                <w:bCs/>
                <w:color w:val="auto"/>
                <w:sz w:val="21"/>
                <w:szCs w:val="21"/>
                <w:highlight w:val="none"/>
                <w:lang w:val="zh-CN"/>
              </w:rPr>
              <w:t>要求）</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详见第一章《</w:t>
            </w:r>
            <w:r>
              <w:rPr>
                <w:rFonts w:hint="eastAsia" w:asciiTheme="minorEastAsia" w:hAnsiTheme="minorEastAsia" w:eastAsiaTheme="minorEastAsia" w:cstheme="minorEastAsia"/>
                <w:color w:val="auto"/>
                <w:sz w:val="21"/>
                <w:szCs w:val="21"/>
                <w:highlight w:val="none"/>
                <w:lang w:val="en-US" w:eastAsia="zh-CN"/>
              </w:rPr>
              <w:t>竞争性谈判</w:t>
            </w:r>
            <w:r>
              <w:rPr>
                <w:rFonts w:hint="eastAsia" w:asciiTheme="minorEastAsia" w:hAnsiTheme="minorEastAsia" w:eastAsiaTheme="minorEastAsia" w:cstheme="minorEastAsia"/>
                <w:color w:val="auto"/>
                <w:sz w:val="21"/>
                <w:szCs w:val="21"/>
                <w:highlight w:val="none"/>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）具有独立承担民事责任的能力；</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良好的商业信誉证明材料（自拟），财务会计制度指上一年度经第三方审计的财务报告，部分其他组织和自然人，没有财务报告，</w:t>
            </w:r>
            <w:r>
              <w:rPr>
                <w:rFonts w:hint="eastAsia" w:asciiTheme="minorEastAsia" w:hAnsiTheme="minorEastAsia" w:eastAsiaTheme="minorEastAsia" w:cstheme="minorEastAsia"/>
                <w:color w:val="auto"/>
                <w:sz w:val="21"/>
                <w:szCs w:val="21"/>
                <w:highlight w:val="none"/>
                <w:lang w:val="en-US" w:eastAsia="zh-CN"/>
              </w:rPr>
              <w:t>可以</w:t>
            </w:r>
            <w:r>
              <w:rPr>
                <w:rFonts w:hint="eastAsia" w:asciiTheme="minorEastAsia" w:hAnsiTheme="minorEastAsia" w:eastAsiaTheme="minorEastAsia" w:cstheme="minorEastAsia"/>
                <w:color w:val="auto"/>
                <w:sz w:val="21"/>
                <w:szCs w:val="21"/>
                <w:highlight w:val="none"/>
                <w:lang w:val="zh-CN"/>
              </w:rPr>
              <w:t>提供银行出具的资信证明（银行资信证明应能说明该供应商与银行之间业务往来正常，企业信誉良好等。银行出具的单纯的存款证明不能视作银行资信证明。下同）。成立不足一年的可提供存款证明即可。由财政部门认可的政府采购专业担保机构对供应商进行资信审查后出具投标担保函的，可以不用提供</w:t>
            </w:r>
            <w:r>
              <w:rPr>
                <w:rFonts w:hint="eastAsia" w:asciiTheme="minorEastAsia" w:hAnsiTheme="minorEastAsia" w:eastAsiaTheme="minorEastAsia" w:cstheme="minorEastAsia"/>
                <w:color w:val="auto"/>
                <w:sz w:val="21"/>
                <w:szCs w:val="21"/>
                <w:highlight w:val="none"/>
                <w:lang w:val="en-US" w:eastAsia="zh-CN"/>
              </w:rPr>
              <w:t>财务会计制度对应的相关内容</w:t>
            </w:r>
            <w:r>
              <w:rPr>
                <w:rFonts w:hint="eastAsia" w:asciiTheme="minorEastAsia" w:hAnsiTheme="minorEastAsia" w:eastAsiaTheme="minorEastAsia" w:cstheme="minorEastAsia"/>
                <w:color w:val="auto"/>
                <w:sz w:val="21"/>
                <w:szCs w:val="21"/>
                <w:highlight w:val="none"/>
                <w:lang w:val="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rPr>
              <w:t>）具有依法缴纳税收和社会保障资金的良好记录：1）供应商依法缴纳税收的证明材料：递交响应文件截止时间往前推算</w:t>
            </w:r>
            <w:r>
              <w:rPr>
                <w:rFonts w:hint="eastAsia" w:asciiTheme="minorEastAsia" w:hAnsiTheme="minorEastAsia" w:eastAsiaTheme="minorEastAsia" w:cstheme="minorEastAsia"/>
                <w:color w:val="auto"/>
                <w:sz w:val="21"/>
                <w:szCs w:val="21"/>
                <w:highlight w:val="none"/>
                <w:lang w:val="en-US" w:eastAsia="zh-CN"/>
              </w:rPr>
              <w:t>六个月</w:t>
            </w:r>
            <w:r>
              <w:rPr>
                <w:rFonts w:hint="eastAsia" w:asciiTheme="minorEastAsia" w:hAnsiTheme="minorEastAsia" w:eastAsiaTheme="minorEastAsia" w:cstheme="minorEastAsia"/>
                <w:color w:val="auto"/>
                <w:sz w:val="21"/>
                <w:szCs w:val="21"/>
                <w:highlight w:val="none"/>
                <w:lang w:val="zh-CN"/>
              </w:rPr>
              <w:t>以来</w:t>
            </w:r>
            <w:r>
              <w:rPr>
                <w:rFonts w:hint="eastAsia" w:asciiTheme="minorEastAsia" w:hAnsiTheme="minorEastAsia" w:eastAsiaTheme="minorEastAsia" w:cstheme="minorEastAsia"/>
                <w:color w:val="auto"/>
                <w:sz w:val="21"/>
                <w:szCs w:val="21"/>
                <w:highlight w:val="none"/>
                <w:lang w:val="en-US" w:eastAsia="zh-CN"/>
              </w:rPr>
              <w:t>任意一个月</w:t>
            </w:r>
            <w:r>
              <w:rPr>
                <w:rFonts w:hint="eastAsia" w:asciiTheme="minorEastAsia" w:hAnsiTheme="minorEastAsia" w:eastAsiaTheme="minorEastAsia" w:cstheme="minorEastAsia"/>
                <w:color w:val="auto"/>
                <w:sz w:val="21"/>
                <w:szCs w:val="21"/>
                <w:highlight w:val="none"/>
                <w:lang w:val="zh-CN"/>
              </w:rPr>
              <w:t>缴纳税收的凭据（完税证明、缴款书、银行代扣（代缴）转账凭证等均可）；2）供应商依法缴纳社会保障资金的证明材料：递交响应文件截止时间往前推算</w:t>
            </w:r>
            <w:r>
              <w:rPr>
                <w:rFonts w:hint="eastAsia" w:asciiTheme="minorEastAsia" w:hAnsiTheme="minorEastAsia" w:eastAsiaTheme="minorEastAsia" w:cstheme="minorEastAsia"/>
                <w:color w:val="auto"/>
                <w:sz w:val="21"/>
                <w:szCs w:val="21"/>
                <w:highlight w:val="none"/>
                <w:lang w:val="en-US" w:eastAsia="zh-CN"/>
              </w:rPr>
              <w:t>六个月</w:t>
            </w:r>
            <w:r>
              <w:rPr>
                <w:rFonts w:hint="eastAsia" w:asciiTheme="minorEastAsia" w:hAnsiTheme="minorEastAsia" w:eastAsiaTheme="minorEastAsia" w:cstheme="minorEastAsia"/>
                <w:color w:val="auto"/>
                <w:sz w:val="21"/>
                <w:szCs w:val="21"/>
                <w:highlight w:val="none"/>
                <w:lang w:val="zh-CN"/>
              </w:rPr>
              <w:t>以来</w:t>
            </w:r>
            <w:r>
              <w:rPr>
                <w:rFonts w:hint="eastAsia" w:asciiTheme="minorEastAsia" w:hAnsiTheme="minorEastAsia" w:eastAsiaTheme="minorEastAsia" w:cstheme="minorEastAsia"/>
                <w:color w:val="auto"/>
                <w:sz w:val="21"/>
                <w:szCs w:val="21"/>
                <w:highlight w:val="none"/>
                <w:lang w:val="en-US" w:eastAsia="zh-CN"/>
              </w:rPr>
              <w:t>任意一个月</w:t>
            </w:r>
            <w:r>
              <w:rPr>
                <w:rFonts w:hint="eastAsia" w:asciiTheme="minorEastAsia" w:hAnsiTheme="minorEastAsia" w:eastAsiaTheme="minorEastAsia" w:cstheme="minorEastAsia"/>
                <w:color w:val="auto"/>
                <w:sz w:val="21"/>
                <w:szCs w:val="21"/>
                <w:highlight w:val="none"/>
                <w:lang w:val="zh-CN"/>
              </w:rPr>
              <w:t>缴纳社会保险的凭据（专用发票或社会保险缴纳清单）；3）供应商为其他组织或自然人的，也需要按此项规定提供缴纳税收的凭据和缴纳社会保险的凭据；4）递交响应文件截止时间当月成立但因税务机关原因导致其尚未依法缴纳税收的供应商，提供依法缴纳税收承诺书原件（格式自拟），该承诺书视同税收缴纳凭据。5）递交响应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rPr>
              <w:t>）参加政府采购活动前三年内，在经营活动中没有重大违法记录；（提供书面声明）（重大违法记录是指供应商因违法经营受到刑事处罚或者责令停产停业、吊销许可证或者执照、较大数额罚款等行政处罚）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lang w:val="zh-CN"/>
              </w:rPr>
              <w:t>）符合本文件第一章第二款资格要求的所有证明资料。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15.1</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zh-CN"/>
              </w:rPr>
              <w:t>证明响应内容符合竞争性谈判采购文件要求的文件和竞争性谈判采购文件规定的其他资料</w:t>
            </w:r>
          </w:p>
        </w:tc>
        <w:tc>
          <w:tcPr>
            <w:tcW w:w="6122" w:type="dxa"/>
            <w:vAlign w:val="center"/>
          </w:tcPr>
          <w:p>
            <w:pPr>
              <w:numPr>
                <w:ilvl w:val="0"/>
                <w:numId w:val="0"/>
              </w:num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证明满足</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54"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16.1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谈判保证金金额、递交方式、时间及接受谈判保证金的帐户信息</w:t>
            </w:r>
          </w:p>
        </w:tc>
        <w:tc>
          <w:tcPr>
            <w:tcW w:w="6122"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    额：</w:t>
            </w:r>
            <w:r>
              <w:rPr>
                <w:rFonts w:hint="eastAsia" w:asciiTheme="minorEastAsia" w:hAnsiTheme="minorEastAsia" w:eastAsiaTheme="minorEastAsia" w:cstheme="minorEastAsia"/>
                <w:color w:val="auto"/>
                <w:sz w:val="21"/>
                <w:szCs w:val="21"/>
                <w:highlight w:val="none"/>
                <w:lang w:val="en-US" w:eastAsia="zh-CN"/>
              </w:rPr>
              <w:t>壹仟伍佰</w:t>
            </w:r>
            <w:r>
              <w:rPr>
                <w:rFonts w:hint="eastAsia" w:asciiTheme="minorEastAsia" w:hAnsiTheme="minorEastAsia" w:eastAsiaTheme="minorEastAsia" w:cstheme="minorEastAsia"/>
                <w:color w:val="auto"/>
                <w:sz w:val="21"/>
                <w:szCs w:val="21"/>
                <w:highlight w:val="none"/>
              </w:rPr>
              <w:t>元整(￥</w:t>
            </w:r>
            <w:r>
              <w:rPr>
                <w:rFonts w:hint="eastAsia" w:asciiTheme="minorEastAsia" w:hAnsiTheme="minorEastAsia" w:eastAsiaTheme="minorEastAsia" w:cstheme="minorEastAsia"/>
                <w:color w:val="auto"/>
                <w:sz w:val="21"/>
                <w:szCs w:val="21"/>
                <w:highlight w:val="none"/>
                <w:lang w:val="en-US" w:eastAsia="zh-CN"/>
              </w:rPr>
              <w:t>1500</w:t>
            </w:r>
            <w:r>
              <w:rPr>
                <w:rFonts w:hint="eastAsia" w:asciiTheme="minorEastAsia" w:hAnsiTheme="minorEastAsia" w:eastAsiaTheme="minorEastAsia" w:cstheme="minorEastAsia"/>
                <w:color w:val="auto"/>
                <w:sz w:val="21"/>
                <w:szCs w:val="21"/>
                <w:highlight w:val="none"/>
              </w:rPr>
              <w:t>.00元)</w:t>
            </w:r>
          </w:p>
          <w:p>
            <w:pPr>
              <w:spacing w:line="240" w:lineRule="auto"/>
              <w:ind w:right="256" w:rightChars="1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缴纳</w:t>
            </w:r>
            <w:r>
              <w:rPr>
                <w:rFonts w:hint="eastAsia" w:asciiTheme="minorEastAsia" w:hAnsiTheme="minorEastAsia" w:eastAsiaTheme="minorEastAsia" w:cstheme="minorEastAsia"/>
                <w:color w:val="auto"/>
                <w:sz w:val="21"/>
                <w:szCs w:val="21"/>
                <w:highlight w:val="none"/>
              </w:rPr>
              <w:t>投标保证金必须从</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highlight w:val="none"/>
                <w:lang w:val="en-US" w:eastAsia="zh-CN"/>
              </w:rPr>
              <w:t>递交响应文件截止时间</w:t>
            </w:r>
            <w:r>
              <w:rPr>
                <w:rFonts w:hint="eastAsia" w:asciiTheme="minorEastAsia" w:hAnsiTheme="minorEastAsia" w:eastAsiaTheme="minorEastAsia" w:cstheme="minorEastAsia"/>
                <w:color w:val="auto"/>
                <w:sz w:val="21"/>
                <w:szCs w:val="21"/>
                <w:highlight w:val="none"/>
                <w:lang w:eastAsia="zh-CN"/>
              </w:rPr>
              <w:t>，以采购代理公司银行到账信息为准。</w:t>
            </w:r>
            <w:r>
              <w:rPr>
                <w:rFonts w:hint="eastAsia" w:asciiTheme="minorEastAsia" w:hAnsiTheme="minorEastAsia" w:eastAsiaTheme="minorEastAsia" w:cstheme="minorEastAsia"/>
                <w:color w:val="auto"/>
                <w:sz w:val="21"/>
                <w:szCs w:val="21"/>
                <w:highlight w:val="none"/>
              </w:rPr>
              <w:t>成交</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17.1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谈判有效期</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自</w:t>
            </w:r>
            <w:r>
              <w:rPr>
                <w:rFonts w:hint="eastAsia" w:asciiTheme="minorEastAsia" w:hAnsiTheme="minorEastAsia" w:eastAsiaTheme="minorEastAsia" w:cstheme="minorEastAsia"/>
                <w:color w:val="auto"/>
                <w:kern w:val="0"/>
                <w:sz w:val="21"/>
                <w:szCs w:val="21"/>
                <w:highlight w:val="none"/>
                <w:lang w:eastAsia="zh-CN"/>
              </w:rPr>
              <w:t>谈判</w:t>
            </w:r>
            <w:r>
              <w:rPr>
                <w:rFonts w:hint="eastAsia" w:asciiTheme="minorEastAsia" w:hAnsiTheme="minorEastAsia" w:eastAsiaTheme="minorEastAsia" w:cstheme="minorEastAsia"/>
                <w:color w:val="auto"/>
                <w:kern w:val="0"/>
                <w:sz w:val="21"/>
                <w:szCs w:val="21"/>
                <w:highlight w:val="none"/>
              </w:rPr>
              <w:t>截止时间起共</w:t>
            </w:r>
            <w:r>
              <w:rPr>
                <w:rFonts w:hint="eastAsia" w:asciiTheme="minorEastAsia" w:hAnsiTheme="minorEastAsia" w:eastAsiaTheme="minorEastAsia" w:cstheme="minorEastAsia"/>
                <w:color w:val="auto"/>
                <w:kern w:val="0"/>
                <w:sz w:val="21"/>
                <w:szCs w:val="21"/>
                <w:highlight w:val="none"/>
                <w:u w:val="single"/>
                <w:lang w:val="en-US" w:eastAsia="zh-CN"/>
              </w:rPr>
              <w:t xml:space="preserve"> 90 </w:t>
            </w:r>
            <w:r>
              <w:rPr>
                <w:rFonts w:hint="eastAsia" w:asciiTheme="minorEastAsia" w:hAnsiTheme="minorEastAsia" w:eastAsiaTheme="minorEastAsia" w:cstheme="minorEastAsia"/>
                <w:color w:val="auto"/>
                <w:kern w:val="0"/>
                <w:sz w:val="21"/>
                <w:szCs w:val="21"/>
                <w:highlight w:val="none"/>
              </w:rPr>
              <w:t>日历天</w:t>
            </w:r>
            <w:r>
              <w:rPr>
                <w:rFonts w:hint="eastAsia" w:asciiTheme="minorEastAsia" w:hAnsiTheme="minorEastAsia" w:eastAsiaTheme="minorEastAsia" w:cstheme="minor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2"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zh-CN"/>
              </w:rPr>
              <w:t>18.1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竞争性谈判响应文件正、副本数量</w:t>
            </w:r>
          </w:p>
        </w:tc>
        <w:tc>
          <w:tcPr>
            <w:tcW w:w="6122" w:type="dxa"/>
            <w:vAlign w:val="center"/>
          </w:tcPr>
          <w:p>
            <w:pPr>
              <w:spacing w:line="240" w:lineRule="auto"/>
              <w:rPr>
                <w:rFonts w:hint="eastAsia" w:asciiTheme="minorEastAsia" w:hAnsiTheme="minorEastAsia" w:eastAsiaTheme="minorEastAsia" w:cstheme="minorEastAsia"/>
                <w:color w:val="auto"/>
                <w:sz w:val="21"/>
                <w:szCs w:val="21"/>
                <w:highlight w:val="none"/>
                <w:lang w:val="zh-CN" w:eastAsia="zh-CN"/>
              </w:rPr>
            </w:pPr>
            <w:r>
              <w:rPr>
                <w:rFonts w:hint="eastAsia" w:ascii="宋体" w:hAnsi="宋体" w:cs="宋体"/>
                <w:color w:val="auto"/>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eastAsia="zh-CN"/>
              </w:rPr>
              <w:t>投标文件包括3部分：价格文件、投标书、资格证明文件。价格文件一式3份，其中正本1份（需为彩色打印件），副本2份；投标书一式3份，其中正本1份（需为彩色打印件），副本2份；资格证明文件一式3份，其中正本1份（需为彩色打印件），副本 2份。在每一份文件上要注明“正本”或“副本”字样。如果正本与副本、电子投标文件不符，以正本为准。</w:t>
            </w:r>
          </w:p>
          <w:p>
            <w:pPr>
              <w:autoSpaceDE w:val="0"/>
              <w:autoSpaceDN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电子版内容：</w:t>
            </w:r>
            <w:r>
              <w:rPr>
                <w:rFonts w:hint="eastAsia" w:asciiTheme="minorEastAsia" w:hAnsiTheme="minorEastAsia" w:eastAsiaTheme="minorEastAsia" w:cstheme="minorEastAsia"/>
                <w:color w:val="auto"/>
                <w:sz w:val="21"/>
                <w:szCs w:val="21"/>
                <w:highlight w:val="none"/>
                <w:u w:val="single"/>
              </w:rPr>
              <w:t>与正本保持一致</w:t>
            </w:r>
          </w:p>
          <w:p>
            <w:pPr>
              <w:autoSpaceDE w:val="0"/>
              <w:autoSpaceDN w:val="0"/>
              <w:snapToGrid w:val="0"/>
              <w:spacing w:line="240" w:lineRule="auto"/>
              <w:ind w:firstLine="843" w:firstLineChars="4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FFFFFF"/>
                <w:lang w:eastAsia="zh-CN"/>
              </w:rPr>
              <w:t>响应文件</w:t>
            </w:r>
            <w:r>
              <w:rPr>
                <w:rFonts w:hint="eastAsia" w:asciiTheme="minorEastAsia" w:hAnsiTheme="minorEastAsia" w:eastAsiaTheme="minorEastAsia" w:cstheme="minorEastAsia"/>
                <w:b/>
                <w:bCs/>
                <w:color w:val="auto"/>
                <w:sz w:val="21"/>
                <w:szCs w:val="21"/>
                <w:highlight w:val="none"/>
                <w:shd w:val="clear" w:color="auto" w:fill="FFFFFF"/>
              </w:rPr>
              <w:t>电子版格式：</w:t>
            </w:r>
            <w:r>
              <w:rPr>
                <w:rFonts w:hint="eastAsia" w:asciiTheme="minorEastAsia" w:hAnsiTheme="minorEastAsia" w:eastAsiaTheme="minorEastAsia" w:cstheme="minorEastAsia"/>
                <w:b/>
                <w:bCs/>
                <w:color w:val="auto"/>
                <w:sz w:val="21"/>
                <w:szCs w:val="21"/>
                <w:highlight w:val="none"/>
                <w:shd w:val="clear" w:color="auto" w:fill="FFFFFF"/>
                <w:lang w:val="en-US" w:eastAsia="zh-CN"/>
              </w:rPr>
              <w:t>WORD</w:t>
            </w:r>
            <w:r>
              <w:rPr>
                <w:rFonts w:hint="eastAsia" w:asciiTheme="minorEastAsia" w:hAnsiTheme="minorEastAsia" w:eastAsiaTheme="minorEastAsia" w:cstheme="minorEastAsia"/>
                <w:b/>
                <w:bCs/>
                <w:color w:val="auto"/>
                <w:sz w:val="21"/>
                <w:szCs w:val="21"/>
                <w:highlight w:val="none"/>
                <w:shd w:val="clear" w:color="auto" w:fill="FFFFFF"/>
                <w:lang w:eastAsia="zh-CN"/>
              </w:rPr>
              <w:t>格式</w:t>
            </w:r>
            <w:r>
              <w:rPr>
                <w:rFonts w:hint="eastAsia" w:asciiTheme="minorEastAsia" w:hAnsiTheme="minorEastAsia" w:eastAsiaTheme="minorEastAsia" w:cstheme="minorEastAsia"/>
                <w:b/>
                <w:bCs/>
                <w:color w:val="auto"/>
                <w:sz w:val="21"/>
                <w:szCs w:val="21"/>
                <w:highlight w:val="none"/>
                <w:shd w:val="clear" w:color="auto" w:fill="FFFFFF"/>
                <w:lang w:val="en-US" w:eastAsia="zh-CN"/>
              </w:rPr>
              <w:t>和加</w:t>
            </w:r>
            <w:r>
              <w:rPr>
                <w:rFonts w:hint="eastAsia" w:asciiTheme="minorEastAsia" w:hAnsiTheme="minorEastAsia" w:eastAsiaTheme="minorEastAsia" w:cstheme="minorEastAsia"/>
                <w:b/>
                <w:bCs/>
                <w:color w:val="auto"/>
                <w:sz w:val="21"/>
                <w:szCs w:val="21"/>
                <w:highlight w:val="none"/>
                <w:u w:val="single"/>
                <w:lang w:val="en-US" w:eastAsia="zh-CN"/>
              </w:rPr>
              <w:t>盖公章后的</w:t>
            </w:r>
            <w:r>
              <w:rPr>
                <w:rFonts w:hint="eastAsia" w:asciiTheme="minorEastAsia" w:hAnsiTheme="minorEastAsia" w:eastAsiaTheme="minorEastAsia" w:cstheme="minorEastAsia"/>
                <w:b/>
                <w:bCs/>
                <w:color w:val="auto"/>
                <w:sz w:val="21"/>
                <w:szCs w:val="21"/>
                <w:highlight w:val="none"/>
                <w:u w:val="single"/>
              </w:rPr>
              <w:t>PDF</w:t>
            </w:r>
            <w:r>
              <w:rPr>
                <w:rFonts w:hint="eastAsia" w:asciiTheme="minorEastAsia" w:hAnsiTheme="minorEastAsia" w:eastAsiaTheme="minorEastAsia" w:cstheme="minorEastAsia"/>
                <w:b/>
                <w:bCs/>
                <w:color w:val="auto"/>
                <w:sz w:val="21"/>
                <w:szCs w:val="21"/>
                <w:highlight w:val="none"/>
                <w:u w:val="single"/>
                <w:lang w:val="en-US" w:eastAsia="zh-CN"/>
              </w:rPr>
              <w:t>扫描件</w:t>
            </w:r>
            <w:r>
              <w:rPr>
                <w:rFonts w:hint="eastAsia" w:asciiTheme="minorEastAsia" w:hAnsiTheme="minorEastAsia" w:eastAsiaTheme="minorEastAsia" w:cstheme="minorEastAsia"/>
                <w:b/>
                <w:bCs/>
                <w:color w:val="auto"/>
                <w:sz w:val="21"/>
                <w:szCs w:val="21"/>
                <w:highlight w:val="none"/>
                <w:u w:val="single"/>
              </w:rPr>
              <w:t>格式</w:t>
            </w:r>
            <w:r>
              <w:rPr>
                <w:rFonts w:hint="eastAsia" w:asciiTheme="minorEastAsia" w:hAnsiTheme="minorEastAsia" w:eastAsiaTheme="minorEastAsia" w:cstheme="minorEastAsia"/>
                <w:b/>
                <w:bCs/>
                <w:color w:val="auto"/>
                <w:sz w:val="21"/>
                <w:szCs w:val="21"/>
                <w:highlight w:val="none"/>
                <w:u w:val="single"/>
                <w:lang w:val="en-US" w:eastAsia="zh-CN"/>
              </w:rPr>
              <w:t>，</w:t>
            </w:r>
            <w:r>
              <w:rPr>
                <w:rFonts w:hint="eastAsia" w:asciiTheme="minorEastAsia" w:hAnsiTheme="minorEastAsia" w:eastAsiaTheme="minorEastAsia" w:cstheme="minorEastAsia"/>
                <w:b/>
                <w:bCs/>
                <w:color w:val="auto"/>
                <w:sz w:val="21"/>
                <w:szCs w:val="21"/>
                <w:highlight w:val="none"/>
                <w:u w:val="single"/>
                <w:lang w:eastAsia="zh-CN"/>
              </w:rPr>
              <w:t>如不</w:t>
            </w:r>
            <w:r>
              <w:rPr>
                <w:rFonts w:hint="eastAsia" w:asciiTheme="minorEastAsia" w:hAnsiTheme="minorEastAsia" w:eastAsiaTheme="minorEastAsia" w:cstheme="minorEastAsia"/>
                <w:b/>
                <w:bCs/>
                <w:color w:val="auto"/>
                <w:sz w:val="21"/>
                <w:szCs w:val="21"/>
                <w:highlight w:val="none"/>
                <w:u w:val="single"/>
                <w:lang w:val="en-US" w:eastAsia="zh-CN"/>
              </w:rPr>
              <w:t>满足</w:t>
            </w:r>
            <w:r>
              <w:rPr>
                <w:rFonts w:hint="eastAsia" w:asciiTheme="minorEastAsia" w:hAnsiTheme="minorEastAsia" w:eastAsiaTheme="minorEastAsia" w:cstheme="minorEastAsia"/>
                <w:b/>
                <w:bCs/>
                <w:color w:val="auto"/>
                <w:sz w:val="21"/>
                <w:szCs w:val="21"/>
                <w:highlight w:val="none"/>
                <w:u w:val="single"/>
                <w:lang w:eastAsia="zh-CN"/>
              </w:rPr>
              <w:t>作废标处理。</w:t>
            </w:r>
          </w:p>
          <w:p>
            <w:pPr>
              <w:autoSpaceDE w:val="0"/>
              <w:autoSpaceDN w:val="0"/>
              <w:adjustRightInd w:val="0"/>
              <w:spacing w:line="240" w:lineRule="auto"/>
              <w:ind w:firstLine="420" w:firstLineChars="200"/>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电子版形式：</w:t>
            </w:r>
            <w:r>
              <w:rPr>
                <w:rFonts w:hint="eastAsia" w:asciiTheme="minorEastAsia" w:hAnsiTheme="minorEastAsia" w:eastAsiaTheme="minorEastAsia" w:cstheme="minorEastAsia"/>
                <w:color w:val="auto"/>
                <w:sz w:val="21"/>
                <w:szCs w:val="21"/>
                <w:highlight w:val="none"/>
                <w:u w:val="single"/>
              </w:rPr>
              <w:t xml:space="preserve"> U盘1份，需贴标签并注明公司名称；</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u w:val="none"/>
                <w:lang w:val="en-US" w:eastAsia="zh-CN"/>
              </w:rPr>
              <w:t>手持</w:t>
            </w:r>
            <w:r>
              <w:rPr>
                <w:rFonts w:hint="eastAsia" w:asciiTheme="minorEastAsia" w:hAnsiTheme="minorEastAsia" w:eastAsiaTheme="minorEastAsia" w:cstheme="minorEastAsia"/>
                <w:b w:val="0"/>
                <w:bCs w:val="0"/>
                <w:color w:val="auto"/>
                <w:sz w:val="21"/>
                <w:szCs w:val="21"/>
                <w:highlight w:val="none"/>
                <w:u w:val="none"/>
              </w:rPr>
              <w:t>法定代表人授权委托书（或法定代表人身份证明书）</w:t>
            </w:r>
            <w:r>
              <w:rPr>
                <w:rFonts w:hint="eastAsia" w:asciiTheme="minorEastAsia" w:hAnsiTheme="minorEastAsia" w:eastAsiaTheme="minorEastAsia" w:cstheme="minorEastAsia"/>
                <w:b w:val="0"/>
                <w:bCs w:val="0"/>
                <w:color w:val="auto"/>
                <w:sz w:val="21"/>
                <w:szCs w:val="21"/>
                <w:highlight w:val="none"/>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纸质</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rPr>
              <w:t>采用胶粘方</w:t>
            </w:r>
            <w:r>
              <w:rPr>
                <w:rFonts w:hint="eastAsia" w:asciiTheme="minorEastAsia" w:hAnsiTheme="minorEastAsia" w:eastAsiaTheme="minorEastAsia" w:cstheme="minorEastAsia"/>
                <w:color w:val="auto"/>
                <w:sz w:val="21"/>
                <w:szCs w:val="21"/>
                <w:highlight w:val="none"/>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813"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en-US" w:eastAsia="zh-CN"/>
              </w:rPr>
              <w:t>19.1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竞争性谈判响应文件的密封和标记</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本条款细化为：</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响应文件</w:t>
            </w:r>
            <w:r>
              <w:rPr>
                <w:rFonts w:hint="eastAsia" w:asciiTheme="minorEastAsia" w:hAnsiTheme="minorEastAsia" w:eastAsiaTheme="minorEastAsia" w:cstheme="minorEastAsia"/>
                <w:color w:val="auto"/>
                <w:kern w:val="0"/>
                <w:sz w:val="21"/>
                <w:szCs w:val="21"/>
                <w:highlight w:val="none"/>
                <w:lang w:eastAsia="zh-CN"/>
              </w:rPr>
              <w:t>正本</w:t>
            </w:r>
            <w:r>
              <w:rPr>
                <w:rFonts w:hint="eastAsia" w:asciiTheme="minorEastAsia" w:hAnsiTheme="minorEastAsia" w:eastAsiaTheme="minorEastAsia" w:cstheme="minorEastAsia"/>
                <w:color w:val="auto"/>
                <w:kern w:val="0"/>
                <w:sz w:val="21"/>
                <w:szCs w:val="21"/>
                <w:highlight w:val="none"/>
              </w:rPr>
              <w:t>应逐页加盖供应商单位公章（本页正文内容已加盖单位公章的可不加盖），不得使用单位其他专用章代替。因签字盖章问题导致的响应材料被否决或竞标受影响的情况，其后果供应商自行承担。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212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lang w:val="zh-CN"/>
              </w:rPr>
              <w:t>（</w:t>
            </w:r>
            <w:r>
              <w:rPr>
                <w:rFonts w:hint="eastAsia" w:asciiTheme="minorEastAsia" w:hAnsiTheme="minorEastAsia" w:eastAsiaTheme="minorEastAsia" w:cstheme="minorEastAsia"/>
                <w:b/>
                <w:bCs/>
                <w:snapToGrid w:val="0"/>
                <w:color w:val="auto"/>
                <w:kern w:val="0"/>
                <w:sz w:val="21"/>
                <w:szCs w:val="21"/>
                <w:highlight w:val="none"/>
                <w:lang w:val="en-US" w:eastAsia="zh-CN"/>
              </w:rPr>
              <w:t>本项目不适用</w:t>
            </w:r>
            <w:r>
              <w:rPr>
                <w:rFonts w:hint="eastAsia" w:asciiTheme="minorEastAsia" w:hAnsiTheme="minorEastAsia" w:eastAsiaTheme="minorEastAsia" w:cstheme="minorEastAsia"/>
                <w:b/>
                <w:bCs/>
                <w:snapToGrid w:val="0"/>
                <w:color w:val="auto"/>
                <w:kern w:val="0"/>
                <w:sz w:val="21"/>
                <w:szCs w:val="21"/>
                <w:highlight w:val="none"/>
                <w:lang w:val="zh-CN"/>
              </w:rPr>
              <w:t>）</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提交样品的相关规定：要求在谈判时提交样品的，应在样品上标明谈判供应商名称。</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退还样品的相关规定：</w:t>
            </w:r>
            <w:r>
              <w:rPr>
                <w:rFonts w:hint="eastAsia" w:asciiTheme="minorEastAsia" w:hAnsiTheme="minorEastAsia" w:eastAsiaTheme="minorEastAsia" w:cstheme="minorEastAsia"/>
                <w:color w:val="auto"/>
                <w:kern w:val="0"/>
                <w:sz w:val="21"/>
                <w:szCs w:val="21"/>
                <w:highlight w:val="none"/>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3"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zh-CN"/>
              </w:rPr>
              <w:t>响应文件送达地点及递交截止时间</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谈判小组人数</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3人或3人以上单数组成，其中采购人代表不超过成员总数的三分之一，外聘专家在省政府采购专家库中随机抽取。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b/>
                <w:bCs/>
                <w:snapToGrid w:val="0"/>
                <w:color w:val="auto"/>
                <w:kern w:val="0"/>
                <w:sz w:val="21"/>
                <w:szCs w:val="21"/>
                <w:highlight w:val="none"/>
                <w:lang w:val="en-US" w:eastAsia="zh-CN"/>
              </w:rPr>
              <w:t>谈判代表</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eastAsia="zh-CN"/>
              </w:rPr>
              <w:t>建议供应商拟派出席谈判会议的谈判代表为熟知本项目的技术人员或商务负责人等能</w:t>
            </w:r>
            <w:r>
              <w:rPr>
                <w:rFonts w:hint="eastAsia" w:asciiTheme="minorEastAsia" w:hAnsiTheme="minorEastAsia" w:eastAsiaTheme="minorEastAsia" w:cstheme="minorEastAsia"/>
                <w:b/>
                <w:bCs/>
                <w:color w:val="auto"/>
                <w:sz w:val="21"/>
                <w:szCs w:val="21"/>
                <w:highlight w:val="none"/>
                <w:lang w:val="en-US" w:eastAsia="zh-CN"/>
              </w:rPr>
              <w:t>为谈判小组详细介绍供应商公司情况及项目了解情况的</w:t>
            </w:r>
            <w:r>
              <w:rPr>
                <w:rFonts w:hint="eastAsia" w:asciiTheme="minorEastAsia" w:hAnsiTheme="minorEastAsia" w:eastAsiaTheme="minorEastAsia" w:cstheme="minorEastAsia"/>
                <w:b/>
                <w:bCs/>
                <w:color w:val="auto"/>
                <w:sz w:val="21"/>
                <w:szCs w:val="21"/>
                <w:highlight w:val="none"/>
                <w:lang w:val="zh-CN" w:eastAsia="zh-CN"/>
              </w:rPr>
              <w:t>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0"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26.4</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提交最后报价供应商的确定方式</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采购代理机构将竞争性谈判第三轮报价表（谈判承诺书）发放至所有通过了资格审查及符合性审查的谈判供应商，谈判供应商应在指定的时间内提交满足要求的最后报价，</w:t>
            </w:r>
            <w:r>
              <w:rPr>
                <w:rFonts w:hint="eastAsia" w:asciiTheme="minorEastAsia" w:hAnsiTheme="minorEastAsia" w:eastAsiaTheme="minorEastAsia" w:cstheme="minorEastAsia"/>
                <w:snapToGrid w:val="0"/>
                <w:color w:val="auto"/>
                <w:kern w:val="0"/>
                <w:sz w:val="21"/>
                <w:szCs w:val="21"/>
                <w:highlight w:val="none"/>
                <w:lang w:val="en-US" w:eastAsia="zh-CN"/>
              </w:rPr>
              <w:t>在指定地点以</w:t>
            </w:r>
            <w:r>
              <w:rPr>
                <w:rFonts w:hint="eastAsia" w:asciiTheme="minorEastAsia" w:hAnsiTheme="minorEastAsia" w:eastAsiaTheme="minorEastAsia" w:cstheme="minorEastAsia"/>
                <w:snapToGrid w:val="0"/>
                <w:color w:val="auto"/>
                <w:kern w:val="0"/>
                <w:sz w:val="21"/>
                <w:szCs w:val="21"/>
                <w:highlight w:val="none"/>
                <w:lang w:val="zh-CN"/>
              </w:rPr>
              <w:t>密封</w:t>
            </w:r>
            <w:r>
              <w:rPr>
                <w:rFonts w:hint="eastAsia" w:asciiTheme="minorEastAsia" w:hAnsiTheme="minorEastAsia" w:eastAsiaTheme="minorEastAsia" w:cstheme="minorEastAsia"/>
                <w:snapToGrid w:val="0"/>
                <w:color w:val="auto"/>
                <w:kern w:val="0"/>
                <w:sz w:val="21"/>
                <w:szCs w:val="21"/>
                <w:highlight w:val="none"/>
                <w:lang w:val="en-US" w:eastAsia="zh-CN"/>
              </w:rPr>
              <w:t>等形式</w:t>
            </w:r>
            <w:r>
              <w:rPr>
                <w:rFonts w:hint="eastAsia" w:asciiTheme="minorEastAsia" w:hAnsiTheme="minorEastAsia" w:eastAsiaTheme="minorEastAsia" w:cstheme="minorEastAsia"/>
                <w:snapToGrid w:val="0"/>
                <w:color w:val="auto"/>
                <w:kern w:val="0"/>
                <w:sz w:val="21"/>
                <w:szCs w:val="21"/>
                <w:highlight w:val="none"/>
                <w:lang w:val="zh-CN"/>
              </w:rPr>
              <w:t>递交</w:t>
            </w:r>
            <w:r>
              <w:rPr>
                <w:rFonts w:hint="eastAsia" w:asciiTheme="minorEastAsia" w:hAnsiTheme="minorEastAsia" w:eastAsiaTheme="minorEastAsia" w:cstheme="minorEastAsia"/>
                <w:snapToGrid w:val="0"/>
                <w:color w:val="auto"/>
                <w:kern w:val="0"/>
                <w:sz w:val="21"/>
                <w:szCs w:val="21"/>
                <w:highlight w:val="none"/>
                <w:lang w:val="en-US" w:eastAsia="zh-CN"/>
              </w:rPr>
              <w:t>给采购代理机构指定现场工作人员或</w:t>
            </w:r>
            <w:r>
              <w:rPr>
                <w:rFonts w:hint="eastAsia" w:asciiTheme="minorEastAsia" w:hAnsiTheme="minorEastAsia" w:eastAsiaTheme="minorEastAsia" w:cstheme="minorEastAsia"/>
                <w:snapToGrid w:val="0"/>
                <w:color w:val="auto"/>
                <w:kern w:val="0"/>
                <w:sz w:val="21"/>
                <w:szCs w:val="21"/>
                <w:highlight w:val="none"/>
                <w:lang w:val="zh-CN"/>
              </w:rPr>
              <w:t>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3"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27.3</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推荐成交候选</w:t>
            </w:r>
            <w:r>
              <w:rPr>
                <w:rFonts w:hint="eastAsia" w:asciiTheme="minorEastAsia" w:hAnsiTheme="minorEastAsia" w:eastAsiaTheme="minorEastAsia" w:cstheme="minorEastAsia"/>
                <w:snapToGrid w:val="0"/>
                <w:color w:val="auto"/>
                <w:kern w:val="0"/>
                <w:sz w:val="21"/>
                <w:szCs w:val="21"/>
                <w:highlight w:val="none"/>
                <w:lang w:val="en-US" w:eastAsia="zh-CN"/>
              </w:rPr>
              <w:t>供应商</w:t>
            </w:r>
            <w:r>
              <w:rPr>
                <w:rFonts w:hint="eastAsia" w:asciiTheme="minorEastAsia" w:hAnsiTheme="minorEastAsia" w:eastAsiaTheme="minorEastAsia" w:cstheme="minorEastAsia"/>
                <w:snapToGrid w:val="0"/>
                <w:color w:val="auto"/>
                <w:kern w:val="0"/>
                <w:sz w:val="21"/>
                <w:szCs w:val="21"/>
                <w:highlight w:val="none"/>
                <w:lang w:val="zh-CN"/>
              </w:rPr>
              <w:t>数量</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highlight w:val="none"/>
              </w:rPr>
            </w:pPr>
            <w:r>
              <w:rPr>
                <w:rFonts w:hint="eastAsia" w:asciiTheme="minorEastAsia" w:hAnsiTheme="minorEastAsia" w:eastAsiaTheme="minorEastAsia" w:cstheme="minorEastAsia"/>
                <w:bCs/>
                <w:color w:val="auto"/>
                <w:kern w:val="44"/>
                <w:sz w:val="21"/>
                <w:szCs w:val="21"/>
                <w:highlight w:val="none"/>
              </w:rPr>
              <w:t>本项目推荐</w:t>
            </w:r>
            <w:r>
              <w:rPr>
                <w:rFonts w:hint="eastAsia" w:asciiTheme="minorEastAsia" w:hAnsiTheme="minorEastAsia" w:eastAsiaTheme="minorEastAsia" w:cstheme="minorEastAsia"/>
                <w:bCs/>
                <w:color w:val="auto"/>
                <w:kern w:val="44"/>
                <w:sz w:val="21"/>
                <w:szCs w:val="21"/>
                <w:highlight w:val="none"/>
                <w:u w:val="single"/>
                <w:lang w:val="en-US" w:eastAsia="zh-CN"/>
              </w:rPr>
              <w:t>3</w:t>
            </w:r>
            <w:r>
              <w:rPr>
                <w:rFonts w:hint="eastAsia" w:asciiTheme="minorEastAsia" w:hAnsiTheme="minorEastAsia" w:eastAsiaTheme="minorEastAsia" w:cstheme="minorEastAsia"/>
                <w:bCs/>
                <w:color w:val="auto"/>
                <w:kern w:val="44"/>
                <w:sz w:val="21"/>
                <w:szCs w:val="21"/>
                <w:highlight w:val="none"/>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3"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28.5</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highlight w:val="none"/>
                <w:lang w:val="zh-CN"/>
              </w:rPr>
            </w:pPr>
            <w:r>
              <w:rPr>
                <w:rFonts w:hint="eastAsia" w:asciiTheme="minorEastAsia" w:hAnsiTheme="minorEastAsia" w:eastAsiaTheme="minorEastAsia" w:cstheme="minorEastAsia"/>
                <w:snapToGrid w:val="0"/>
                <w:color w:val="auto"/>
                <w:kern w:val="0"/>
                <w:sz w:val="21"/>
                <w:szCs w:val="21"/>
                <w:highlight w:val="none"/>
                <w:lang w:val="zh-CN"/>
              </w:rPr>
              <w:t>成交通知书的领取</w:t>
            </w:r>
            <w:r>
              <w:rPr>
                <w:rFonts w:hint="eastAsia" w:asciiTheme="minorEastAsia" w:hAnsiTheme="minorEastAsia" w:eastAsiaTheme="minorEastAsia" w:cstheme="minorEastAsia"/>
                <w:snapToGrid w:val="0"/>
                <w:color w:val="auto"/>
                <w:kern w:val="0"/>
                <w:sz w:val="21"/>
                <w:szCs w:val="21"/>
                <w:highlight w:val="none"/>
                <w:lang w:val="en-US" w:eastAsia="zh-CN"/>
              </w:rPr>
              <w:t>时</w:t>
            </w:r>
            <w:r>
              <w:rPr>
                <w:rFonts w:hint="eastAsia" w:asciiTheme="minorEastAsia" w:hAnsiTheme="minorEastAsia" w:eastAsiaTheme="minorEastAsia" w:cstheme="minorEastAsia"/>
                <w:snapToGrid w:val="0"/>
                <w:color w:val="auto"/>
                <w:kern w:val="0"/>
                <w:sz w:val="21"/>
                <w:szCs w:val="21"/>
                <w:highlight w:val="none"/>
                <w:lang w:val="zh-CN"/>
              </w:rPr>
              <w:t>间</w:t>
            </w:r>
          </w:p>
        </w:tc>
        <w:tc>
          <w:tcPr>
            <w:tcW w:w="6122"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highlight w:val="none"/>
              </w:rPr>
            </w:pPr>
            <w:r>
              <w:rPr>
                <w:rFonts w:hint="eastAsia" w:asciiTheme="minorEastAsia" w:hAnsiTheme="minorEastAsia" w:eastAsiaTheme="minorEastAsia" w:cstheme="minorEastAsia"/>
                <w:bCs/>
                <w:color w:val="auto"/>
                <w:kern w:val="44"/>
                <w:sz w:val="21"/>
                <w:szCs w:val="21"/>
                <w:highlight w:val="none"/>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highlight w:val="none"/>
              </w:rPr>
            </w:pPr>
            <w:r>
              <w:rPr>
                <w:rFonts w:hint="eastAsia" w:asciiTheme="minorEastAsia" w:hAnsiTheme="minorEastAsia" w:eastAsiaTheme="minorEastAsia" w:cstheme="minorEastAsia"/>
                <w:bCs/>
                <w:color w:val="auto"/>
                <w:kern w:val="44"/>
                <w:sz w:val="21"/>
                <w:szCs w:val="21"/>
                <w:highlight w:val="none"/>
              </w:rPr>
              <w:t>发布以后即可</w:t>
            </w:r>
            <w:r>
              <w:rPr>
                <w:rFonts w:hint="eastAsia" w:asciiTheme="minorEastAsia" w:hAnsiTheme="minorEastAsia" w:eastAsiaTheme="minorEastAsia" w:cstheme="minorEastAsia"/>
                <w:bCs/>
                <w:color w:val="auto"/>
                <w:kern w:val="44"/>
                <w:sz w:val="21"/>
                <w:szCs w:val="21"/>
                <w:highlight w:val="none"/>
                <w:lang w:val="en-US" w:eastAsia="zh-CN"/>
              </w:rPr>
              <w:t>联系采购代理机构</w:t>
            </w:r>
            <w:r>
              <w:rPr>
                <w:rFonts w:hint="eastAsia" w:asciiTheme="minorEastAsia" w:hAnsiTheme="minorEastAsia" w:eastAsiaTheme="minorEastAsia" w:cstheme="minorEastAsia"/>
                <w:bCs/>
                <w:color w:val="auto"/>
                <w:kern w:val="44"/>
                <w:sz w:val="21"/>
                <w:szCs w:val="21"/>
                <w:highlight w:val="none"/>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4" w:hRule="atLeast"/>
          <w:jc w:val="center"/>
        </w:trPr>
        <w:tc>
          <w:tcPr>
            <w:tcW w:w="9059"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5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6122"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本项目以综合单价进行报价。</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lang w:val="zh-CN"/>
              </w:rPr>
              <w:t>报价为“交钥匙”价，</w:t>
            </w:r>
            <w:r>
              <w:rPr>
                <w:rFonts w:hint="eastAsia" w:asciiTheme="minorEastAsia" w:hAnsiTheme="minorEastAsia" w:eastAsiaTheme="minorEastAsia" w:cstheme="minorEastAsia"/>
                <w:color w:val="auto"/>
                <w:sz w:val="21"/>
                <w:szCs w:val="21"/>
                <w:highlight w:val="none"/>
                <w:lang w:val="zh-CN" w:eastAsia="zh-CN"/>
              </w:rPr>
              <w:t>且须精确到小数点后两位</w:t>
            </w:r>
            <w:r>
              <w:rPr>
                <w:rFonts w:hint="eastAsia" w:asciiTheme="minorEastAsia" w:hAnsiTheme="minorEastAsia" w:eastAsiaTheme="minorEastAsia" w:cstheme="minorEastAsia"/>
                <w:color w:val="auto"/>
                <w:sz w:val="21"/>
                <w:szCs w:val="21"/>
                <w:highlight w:val="none"/>
                <w:lang w:val="zh-CN"/>
              </w:rPr>
              <w:t>。竞标报价应包括完成该</w:t>
            </w:r>
            <w:r>
              <w:rPr>
                <w:rFonts w:hint="eastAsia" w:asciiTheme="minorEastAsia" w:hAnsiTheme="minorEastAsia" w:eastAsiaTheme="minorEastAsia" w:cstheme="minorEastAsia"/>
                <w:color w:val="auto"/>
                <w:sz w:val="21"/>
                <w:szCs w:val="21"/>
                <w:highlight w:val="none"/>
                <w:lang w:val="en-US" w:eastAsia="zh-CN"/>
              </w:rPr>
              <w:t>项目采购范围内的</w:t>
            </w:r>
            <w:r>
              <w:rPr>
                <w:rFonts w:hint="eastAsia" w:asciiTheme="minorEastAsia" w:hAnsiTheme="minorEastAsia" w:eastAsiaTheme="minorEastAsia" w:cstheme="minorEastAsia"/>
                <w:color w:val="auto"/>
                <w:sz w:val="21"/>
                <w:szCs w:val="21"/>
                <w:highlight w:val="none"/>
              </w:rPr>
              <w:t>所有费用</w:t>
            </w:r>
            <w:r>
              <w:rPr>
                <w:rFonts w:hint="eastAsia" w:asciiTheme="minorEastAsia" w:hAnsiTheme="minorEastAsia" w:eastAsiaTheme="minorEastAsia" w:cstheme="minorEastAsia"/>
                <w:color w:val="auto"/>
                <w:sz w:val="21"/>
                <w:szCs w:val="21"/>
                <w:highlight w:val="none"/>
                <w:lang w:val="zh-CN"/>
              </w:rPr>
              <w:t>及</w:t>
            </w:r>
            <w:r>
              <w:rPr>
                <w:rFonts w:hint="eastAsia" w:asciiTheme="minorEastAsia" w:hAnsiTheme="minorEastAsia" w:eastAsiaTheme="minorEastAsia" w:cstheme="minorEastAsia"/>
                <w:color w:val="auto"/>
                <w:sz w:val="21"/>
                <w:szCs w:val="21"/>
                <w:highlight w:val="none"/>
                <w:lang w:val="en-US" w:eastAsia="zh-CN"/>
              </w:rPr>
              <w:t>后期</w:t>
            </w:r>
            <w:r>
              <w:rPr>
                <w:rFonts w:hint="eastAsia" w:asciiTheme="minorEastAsia" w:hAnsiTheme="minorEastAsia" w:eastAsiaTheme="minorEastAsia" w:cstheme="minorEastAsia"/>
                <w:color w:val="auto"/>
                <w:sz w:val="21"/>
                <w:szCs w:val="21"/>
                <w:highlight w:val="none"/>
                <w:lang w:val="zh-CN"/>
              </w:rPr>
              <w:t>质保期间等一切服务费用及其他售后服务等全部相关工作</w:t>
            </w:r>
            <w:r>
              <w:rPr>
                <w:rFonts w:hint="eastAsia" w:asciiTheme="minorEastAsia" w:hAnsiTheme="minorEastAsia" w:eastAsiaTheme="minorEastAsia" w:cstheme="minorEastAsia"/>
                <w:color w:val="auto"/>
                <w:sz w:val="21"/>
                <w:szCs w:val="21"/>
                <w:highlight w:val="none"/>
                <w:lang w:val="en-US" w:eastAsia="zh-CN"/>
              </w:rPr>
              <w:t>的全费用</w:t>
            </w:r>
            <w:r>
              <w:rPr>
                <w:rFonts w:hint="eastAsia" w:asciiTheme="minorEastAsia" w:hAnsiTheme="minorEastAsia" w:eastAsiaTheme="minorEastAsia" w:cstheme="minorEastAsia"/>
                <w:color w:val="auto"/>
                <w:sz w:val="21"/>
                <w:szCs w:val="21"/>
                <w:highlight w:val="none"/>
                <w:lang w:val="zh-CN"/>
              </w:rPr>
              <w:t>。合同签订后采购人未提出增加工作内容的情况下，合同价不得调整。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highlight w:val="none"/>
                <w:lang w:val="en-US" w:eastAsia="zh-CN"/>
              </w:rPr>
              <w:t>也</w:t>
            </w:r>
            <w:r>
              <w:rPr>
                <w:rFonts w:hint="eastAsia" w:asciiTheme="minorEastAsia" w:hAnsiTheme="minorEastAsia" w:eastAsiaTheme="minorEastAsia" w:cstheme="minorEastAsia"/>
                <w:color w:val="auto"/>
                <w:sz w:val="21"/>
                <w:szCs w:val="21"/>
                <w:highlight w:val="none"/>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对于</w:t>
            </w:r>
            <w:r>
              <w:rPr>
                <w:rFonts w:hint="eastAsia" w:asciiTheme="minorEastAsia" w:hAnsiTheme="minorEastAsia" w:eastAsia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lang w:val="zh-CN"/>
              </w:rPr>
              <w:t>文件未列明，而</w:t>
            </w:r>
            <w:r>
              <w:rPr>
                <w:rFonts w:hint="eastAsia" w:asciiTheme="minorEastAsia" w:hAnsiTheme="minorEastAsia" w:eastAsiaTheme="minorEastAsia" w:cstheme="minorEastAsia"/>
                <w:color w:val="auto"/>
                <w:sz w:val="21"/>
                <w:szCs w:val="21"/>
                <w:highlight w:val="none"/>
                <w:lang w:val="en-US" w:eastAsia="zh-CN"/>
              </w:rPr>
              <w:t>谈判</w:t>
            </w:r>
            <w:r>
              <w:rPr>
                <w:rFonts w:hint="eastAsia" w:asciiTheme="minorEastAsia" w:hAnsiTheme="minorEastAsia" w:eastAsiaTheme="minorEastAsia" w:cstheme="minorEastAsia"/>
                <w:color w:val="auto"/>
                <w:sz w:val="21"/>
                <w:szCs w:val="21"/>
                <w:highlight w:val="none"/>
                <w:lang w:val="zh-CN"/>
              </w:rPr>
              <w:t>供应商认为</w:t>
            </w:r>
            <w:r>
              <w:rPr>
                <w:rFonts w:hint="eastAsia" w:asciiTheme="minorEastAsia" w:hAnsiTheme="minorEastAsia" w:eastAsiaTheme="minorEastAsia" w:cstheme="minorEastAsia"/>
                <w:color w:val="auto"/>
                <w:sz w:val="21"/>
                <w:szCs w:val="21"/>
                <w:highlight w:val="none"/>
                <w:lang w:val="en-US" w:eastAsia="zh-CN"/>
              </w:rPr>
              <w:t>必须</w:t>
            </w:r>
            <w:r>
              <w:rPr>
                <w:rFonts w:hint="eastAsia" w:asciiTheme="minorEastAsia" w:hAnsiTheme="minorEastAsia" w:eastAsiaTheme="minorEastAsia" w:cstheme="minorEastAsia"/>
                <w:color w:val="auto"/>
                <w:sz w:val="21"/>
                <w:szCs w:val="21"/>
                <w:highlight w:val="none"/>
                <w:lang w:val="zh-CN"/>
              </w:rPr>
              <w:t>的费用也需列入总报价。在合同实施时，采购人将不予支付</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9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踏勘现场</w:t>
            </w:r>
          </w:p>
        </w:tc>
        <w:tc>
          <w:tcPr>
            <w:tcW w:w="6122"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采购人不组织统一踏勘，</w:t>
            </w:r>
            <w:r>
              <w:rPr>
                <w:rFonts w:hint="eastAsia" w:asciiTheme="minorEastAsia" w:hAnsiTheme="minorEastAsia" w:eastAsiaTheme="minorEastAsia" w:cstheme="minorEastAsia"/>
                <w:color w:val="auto"/>
                <w:sz w:val="21"/>
                <w:szCs w:val="21"/>
                <w:highlight w:val="none"/>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采购人在踏勘现场中介绍的项目</w:t>
            </w:r>
            <w:r>
              <w:rPr>
                <w:rFonts w:hint="eastAsia" w:asciiTheme="minorEastAsia" w:hAnsiTheme="minorEastAsia" w:eastAsiaTheme="minorEastAsia" w:cstheme="minorEastAsia"/>
                <w:color w:val="auto"/>
                <w:sz w:val="21"/>
                <w:szCs w:val="21"/>
                <w:highlight w:val="none"/>
                <w:lang w:val="en-US" w:eastAsia="zh-CN"/>
              </w:rPr>
              <w:t>背景及项目现场</w:t>
            </w:r>
            <w:r>
              <w:rPr>
                <w:rFonts w:hint="eastAsia" w:asciiTheme="minorEastAsia" w:hAnsiTheme="minorEastAsia" w:eastAsiaTheme="minorEastAsia" w:cstheme="minorEastAsia"/>
                <w:color w:val="auto"/>
                <w:sz w:val="21"/>
                <w:szCs w:val="21"/>
                <w:highlight w:val="none"/>
              </w:rPr>
              <w:t>和相关的周边环境情况，供应商在编制响应文件时参考，采购人和采购代理机构不对供应商据此作出的判断和决策负责。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0"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3</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是否接受进口产品</w:t>
            </w:r>
          </w:p>
        </w:tc>
        <w:tc>
          <w:tcPr>
            <w:tcW w:w="6122" w:type="dxa"/>
            <w:vAlign w:val="center"/>
          </w:tcPr>
          <w:p>
            <w:pPr>
              <w:autoSpaceDE w:val="0"/>
              <w:autoSpaceDN w:val="0"/>
              <w:adjustRightInd w:val="0"/>
              <w:snapToGrid w:val="0"/>
              <w:spacing w:before="31" w:beforeLines="10" w:after="31" w:afterLines="10"/>
              <w:ind w:right="21" w:rightChars="10"/>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不接受</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 xml:space="preserve">□接 </w:t>
            </w:r>
            <w:r>
              <w:rPr>
                <w:rFonts w:hint="eastAsia"/>
                <w:color w:val="auto"/>
                <w:highlight w:val="none"/>
                <w:lang w:val="en-US" w:eastAsia="zh-CN"/>
              </w:rPr>
              <w:t xml:space="preserve"> </w:t>
            </w:r>
            <w:r>
              <w:rPr>
                <w:rFonts w:hint="eastAsia"/>
                <w:color w:val="auto"/>
                <w:highlight w:val="none"/>
              </w:rPr>
              <w:t>受</w:t>
            </w:r>
            <w:r>
              <w:rPr>
                <w:rFonts w:hint="eastAsia"/>
                <w:color w:val="auto"/>
                <w:highlight w:val="none"/>
                <w:lang w:eastAsia="zh-CN"/>
              </w:rPr>
              <w:t>；</w:t>
            </w:r>
          </w:p>
          <w:p>
            <w:pPr>
              <w:autoSpaceDE w:val="0"/>
              <w:autoSpaceDN w:val="0"/>
              <w:adjustRightInd w:val="0"/>
              <w:snapToGrid w:val="0"/>
              <w:spacing w:before="31" w:beforeLines="10" w:after="31" w:afterLines="10"/>
              <w:ind w:right="21" w:rightChars="10"/>
              <w:jc w:val="left"/>
              <w:rPr>
                <w:rFonts w:hint="eastAsia"/>
                <w:color w:val="auto"/>
                <w:highlight w:val="none"/>
                <w:u w:val="single"/>
                <w:lang w:val="en-US" w:eastAsia="zh-CN"/>
              </w:rPr>
            </w:pPr>
            <w:r>
              <w:rPr>
                <w:rFonts w:hint="eastAsia"/>
                <w:color w:val="auto"/>
                <w:highlight w:val="none"/>
              </w:rPr>
              <w:t>经财政部门审核同意购买的进口产品为：</w:t>
            </w:r>
            <w:r>
              <w:rPr>
                <w:rFonts w:hint="eastAsia"/>
                <w:color w:val="auto"/>
                <w:highlight w:val="none"/>
                <w:u w:val="single"/>
              </w:rPr>
              <w:t> </w:t>
            </w:r>
            <w:r>
              <w:rPr>
                <w:rFonts w:hint="eastAsia"/>
                <w:color w:val="auto"/>
                <w:highlight w:val="none"/>
                <w:u w:val="single"/>
                <w:lang w:val="en-US" w:eastAsia="zh-CN"/>
              </w:rPr>
              <w:t xml:space="preserve">       </w:t>
            </w:r>
            <w:r>
              <w:rPr>
                <w:rFonts w:hint="eastAsia"/>
                <w:color w:val="auto"/>
                <w:highlight w:val="none"/>
                <w:u w:val="single"/>
              </w:rPr>
              <w:t> </w:t>
            </w:r>
          </w:p>
          <w:p>
            <w:pPr>
              <w:pStyle w:val="11"/>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备注：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813"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c>
          <w:tcPr>
            <w:tcW w:w="212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核心产品</w:t>
            </w:r>
            <w:r>
              <w:rPr>
                <w:rFonts w:hint="eastAsia" w:asciiTheme="minorEastAsia" w:hAnsiTheme="minorEastAsia" w:eastAsiaTheme="minorEastAsia" w:cstheme="minorEastAsia"/>
                <w:color w:val="auto"/>
                <w:sz w:val="21"/>
                <w:szCs w:val="21"/>
                <w:highlight w:val="none"/>
                <w:lang w:eastAsia="zh-CN"/>
              </w:rPr>
              <w:t>（本项目不适用）</w:t>
            </w:r>
          </w:p>
        </w:tc>
        <w:tc>
          <w:tcPr>
            <w:tcW w:w="6122" w:type="dxa"/>
            <w:vAlign w:val="center"/>
          </w:tcPr>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本项目核心产品：</w:t>
            </w:r>
            <w:r>
              <w:rPr>
                <w:rFonts w:hint="eastAsia" w:asciiTheme="minorEastAsia" w:hAnsiTheme="minorEastAsia" w:eastAsiaTheme="minorEastAsia" w:cstheme="minorEastAsia"/>
                <w:color w:val="auto"/>
                <w:sz w:val="21"/>
                <w:szCs w:val="21"/>
                <w:highlight w:val="none"/>
                <w:u w:val="single"/>
              </w:rPr>
              <w:t>/</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提供相同品牌</w:t>
            </w:r>
            <w:r>
              <w:rPr>
                <w:rFonts w:hint="eastAsia" w:asciiTheme="minorEastAsia" w:hAnsiTheme="minorEastAsia" w:eastAsiaTheme="minorEastAsia" w:cstheme="minorEastAsia"/>
                <w:color w:val="auto"/>
                <w:sz w:val="21"/>
                <w:szCs w:val="21"/>
                <w:highlight w:val="none"/>
                <w:lang w:val="en-US" w:eastAsia="zh-CN"/>
              </w:rPr>
              <w:t>核心</w:t>
            </w:r>
            <w:r>
              <w:rPr>
                <w:rFonts w:hint="eastAsia" w:asciiTheme="minorEastAsia" w:hAnsiTheme="minorEastAsia" w:eastAsiaTheme="minorEastAsia" w:cstheme="minorEastAsia"/>
                <w:color w:val="auto"/>
                <w:sz w:val="21"/>
                <w:szCs w:val="21"/>
                <w:highlight w:val="none"/>
              </w:rPr>
              <w:t>产品且通过资格审查、符合性审查的不同供应商参加同一合同项下</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的，按一家供应商计算，评审后得分最高的同品牌供应商获得成交供应商推荐资格；评审得分相同的，采取随机抽取方式确定，其他同品牌供应商不作为中标候选人。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若核心产品不止 1 个，各供应商所投任一核心产品的品牌相同，则按一家供应商计算。</w:t>
            </w:r>
          </w:p>
        </w:tc>
      </w:tr>
    </w:tbl>
    <w:p>
      <w:pPr>
        <w:rPr>
          <w:rFonts w:hint="eastAsia" w:asciiTheme="minorEastAsia" w:hAnsiTheme="minorEastAsia" w:eastAsiaTheme="minorEastAsia" w:cstheme="minorEastAsia"/>
          <w:b/>
          <w:szCs w:val="21"/>
        </w:rPr>
      </w:pPr>
      <w:bookmarkStart w:id="21" w:name="_Toc32139"/>
      <w:r>
        <w:rPr>
          <w:rFonts w:hint="eastAsia" w:asciiTheme="minorEastAsia" w:hAnsiTheme="minorEastAsia" w:eastAsiaTheme="minorEastAsia" w:cstheme="minorEastAsia"/>
          <w:b/>
          <w:szCs w:val="21"/>
        </w:rPr>
        <w:br w:type="page"/>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w:t>
      </w:r>
      <w:bookmarkEnd w:id="21"/>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2" w:name="_Toc25302"/>
      <w:r>
        <w:rPr>
          <w:rFonts w:hint="eastAsia" w:asciiTheme="minorEastAsia" w:hAnsiTheme="minorEastAsia" w:eastAsiaTheme="minorEastAsia" w:cstheme="minorEastAsia"/>
          <w:b/>
          <w:szCs w:val="21"/>
        </w:rPr>
        <w:t>总则</w:t>
      </w:r>
      <w:bookmarkEnd w:id="22"/>
    </w:p>
    <w:p>
      <w:pPr>
        <w:numPr>
          <w:ilvl w:val="0"/>
          <w:numId w:val="8"/>
        </w:numPr>
        <w:spacing w:line="360" w:lineRule="auto"/>
        <w:ind w:hanging="540"/>
        <w:outlineLvl w:val="1"/>
        <w:rPr>
          <w:rFonts w:hint="eastAsia" w:asciiTheme="minorEastAsia" w:hAnsiTheme="minorEastAsia" w:eastAsiaTheme="minorEastAsia" w:cstheme="minorEastAsia"/>
          <w:b/>
          <w:szCs w:val="21"/>
        </w:rPr>
      </w:pPr>
      <w:bookmarkStart w:id="23" w:name="_Toc4636"/>
      <w:bookmarkStart w:id="24" w:name="_Toc27243"/>
      <w:r>
        <w:rPr>
          <w:rFonts w:hint="eastAsia" w:asciiTheme="minorEastAsia" w:hAnsiTheme="minorEastAsia" w:eastAsiaTheme="minorEastAsia" w:cstheme="minorEastAsia"/>
          <w:b/>
          <w:szCs w:val="21"/>
        </w:rPr>
        <w:t>适用法律及范围</w:t>
      </w:r>
      <w:bookmarkEnd w:id="23"/>
      <w:bookmarkEnd w:id="24"/>
    </w:p>
    <w:p>
      <w:pPr>
        <w:numPr>
          <w:ilvl w:val="1"/>
          <w:numId w:val="9"/>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采购文件仅适用于本次竞争性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中所述的项目的采购。</w:t>
      </w:r>
    </w:p>
    <w:p>
      <w:pPr>
        <w:numPr>
          <w:ilvl w:val="0"/>
          <w:numId w:val="8"/>
        </w:numPr>
        <w:spacing w:line="360" w:lineRule="auto"/>
        <w:ind w:hanging="540"/>
        <w:outlineLvl w:val="1"/>
        <w:rPr>
          <w:rFonts w:hint="eastAsia" w:asciiTheme="minorEastAsia" w:hAnsiTheme="minorEastAsia" w:eastAsiaTheme="minorEastAsia" w:cstheme="minorEastAsia"/>
          <w:b/>
          <w:szCs w:val="21"/>
        </w:rPr>
      </w:pPr>
      <w:bookmarkStart w:id="25" w:name="_Toc30547"/>
      <w:bookmarkStart w:id="26" w:name="_Toc6407"/>
      <w:r>
        <w:rPr>
          <w:rFonts w:hint="eastAsia" w:asciiTheme="minorEastAsia" w:hAnsiTheme="minorEastAsia" w:eastAsiaTheme="minorEastAsia" w:cstheme="minorEastAsia"/>
          <w:b/>
          <w:szCs w:val="21"/>
        </w:rPr>
        <w:t>定义</w:t>
      </w:r>
      <w:bookmarkEnd w:id="25"/>
      <w:bookmarkEnd w:id="26"/>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的采购人见《供应商须知前附表》。</w:t>
      </w:r>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的监管部门见《供应商须知前附表》。</w:t>
      </w:r>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的采购代理机构见《供应商须知前附表》。</w:t>
      </w:r>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采购文件的法人、其他组织或者自然人。</w:t>
      </w:r>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供应商”是指</w:t>
      </w:r>
    </w:p>
    <w:p>
      <w:pPr>
        <w:numPr>
          <w:ilvl w:val="3"/>
          <w:numId w:val="8"/>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8"/>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8"/>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采购评定办法中初步审核的供应商。</w:t>
      </w:r>
    </w:p>
    <w:p>
      <w:pPr>
        <w:numPr>
          <w:ilvl w:val="1"/>
          <w:numId w:val="10"/>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是指经评审委员会评审推荐，采购人授予合同的供应商。</w:t>
      </w:r>
    </w:p>
    <w:p>
      <w:pPr>
        <w:numPr>
          <w:ilvl w:val="0"/>
          <w:numId w:val="8"/>
        </w:numPr>
        <w:spacing w:line="360" w:lineRule="auto"/>
        <w:ind w:hanging="540"/>
        <w:outlineLvl w:val="1"/>
        <w:rPr>
          <w:rFonts w:hint="eastAsia" w:asciiTheme="minorEastAsia" w:hAnsiTheme="minorEastAsia" w:eastAsiaTheme="minorEastAsia" w:cstheme="minorEastAsia"/>
          <w:b/>
          <w:szCs w:val="21"/>
        </w:rPr>
      </w:pPr>
      <w:bookmarkStart w:id="27" w:name="_Toc28546"/>
      <w:bookmarkStart w:id="28" w:name="_Toc30503"/>
      <w:r>
        <w:rPr>
          <w:rFonts w:hint="eastAsia" w:asciiTheme="minorEastAsia" w:hAnsiTheme="minorEastAsia" w:eastAsiaTheme="minorEastAsia" w:cstheme="minorEastAsia"/>
          <w:b/>
          <w:snapToGrid w:val="0"/>
          <w:kern w:val="0"/>
          <w:szCs w:val="21"/>
          <w:lang w:val="zh-CN"/>
        </w:rPr>
        <w:t>工程、货物及服务</w:t>
      </w:r>
      <w:bookmarkEnd w:id="27"/>
      <w:bookmarkEnd w:id="28"/>
    </w:p>
    <w:p>
      <w:pPr>
        <w:numPr>
          <w:ilvl w:val="1"/>
          <w:numId w:val="11"/>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1"/>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8"/>
        </w:numPr>
        <w:spacing w:line="360" w:lineRule="auto"/>
        <w:ind w:hanging="540"/>
        <w:outlineLvl w:val="1"/>
        <w:rPr>
          <w:rFonts w:hint="eastAsia" w:asciiTheme="minorEastAsia" w:hAnsiTheme="minorEastAsia" w:eastAsiaTheme="minorEastAsia" w:cstheme="minorEastAsia"/>
          <w:b/>
          <w:szCs w:val="21"/>
        </w:rPr>
      </w:pPr>
      <w:bookmarkStart w:id="29" w:name="_Toc9974"/>
      <w:bookmarkStart w:id="30" w:name="_Toc28170"/>
      <w:r>
        <w:rPr>
          <w:rFonts w:hint="eastAsia" w:asciiTheme="minorEastAsia" w:hAnsiTheme="minorEastAsia" w:eastAsiaTheme="minorEastAsia" w:cstheme="minorEastAsia"/>
          <w:b/>
          <w:szCs w:val="21"/>
        </w:rPr>
        <w:t>费用</w:t>
      </w:r>
      <w:bookmarkEnd w:id="29"/>
      <w:bookmarkEnd w:id="30"/>
      <w:r>
        <w:rPr>
          <w:rFonts w:hint="eastAsia" w:asciiTheme="minorEastAsia" w:hAnsiTheme="minorEastAsia" w:eastAsiaTheme="minorEastAsia" w:cstheme="minorEastAsia"/>
          <w:b/>
          <w:szCs w:val="21"/>
        </w:rPr>
        <w:t xml:space="preserve">  </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有关的费用，不论</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的结果如何，采购人和采购代理机构均无义务和责任承担这些费用。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注：招标代理服务收费按差额定率累进法计算。例如：某服务招标代理业务中标金额为6000万元，计算招标代理服务收费额如下：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 xml:space="preserve"> 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100---500：400×0.800％=32000.000元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500---1000：500×0.450％=22500.000元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1000---5000：4000×0.250％=100000.000元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5000---6000：1000×0.100％=10000.000元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合计收费=179500.000元</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1" w:name="_Toc24952"/>
      <w:r>
        <w:rPr>
          <w:rFonts w:hint="eastAsia" w:asciiTheme="minorEastAsia" w:hAnsiTheme="minorEastAsia" w:eastAsiaTheme="minorEastAsia" w:cstheme="minorEastAsia"/>
          <w:b/>
          <w:szCs w:val="21"/>
        </w:rPr>
        <w:t>竞争性</w:t>
      </w:r>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采购文件</w:t>
      </w:r>
      <w:bookmarkEnd w:id="31"/>
    </w:p>
    <w:p>
      <w:pPr>
        <w:numPr>
          <w:ilvl w:val="0"/>
          <w:numId w:val="8"/>
        </w:numPr>
        <w:spacing w:line="360" w:lineRule="auto"/>
        <w:ind w:hanging="540"/>
        <w:outlineLvl w:val="1"/>
        <w:rPr>
          <w:rFonts w:hint="eastAsia" w:asciiTheme="minorEastAsia" w:hAnsiTheme="minorEastAsia" w:eastAsiaTheme="minorEastAsia" w:cstheme="minorEastAsia"/>
          <w:b/>
          <w:szCs w:val="21"/>
        </w:rPr>
      </w:pPr>
      <w:bookmarkStart w:id="32" w:name="_Toc6986"/>
      <w:bookmarkStart w:id="33" w:name="_Toc4547"/>
      <w:r>
        <w:rPr>
          <w:rFonts w:hint="eastAsia" w:asciiTheme="minorEastAsia" w:hAnsiTheme="minorEastAsia" w:eastAsiaTheme="minorEastAsia" w:cstheme="minorEastAsia"/>
          <w:b/>
          <w:szCs w:val="21"/>
        </w:rPr>
        <w:t>竞争性</w:t>
      </w:r>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采购文件的构成</w:t>
      </w:r>
      <w:bookmarkEnd w:id="32"/>
      <w:bookmarkEnd w:id="33"/>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本竞争性谈判采购文件包括：</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公告（代</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邀请函）</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采购评定办法</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响应文件格式</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8"/>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评审委员会在</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过程中发出的对本</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文件的实质性变动</w:t>
      </w:r>
    </w:p>
    <w:p>
      <w:pPr>
        <w:numPr>
          <w:ilvl w:val="0"/>
          <w:numId w:val="8"/>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34" w:name="_Toc19952"/>
      <w:bookmarkStart w:id="35" w:name="_Toc29700"/>
      <w:r>
        <w:rPr>
          <w:rFonts w:hint="eastAsia" w:asciiTheme="minorEastAsia" w:hAnsiTheme="minorEastAsia" w:eastAsiaTheme="minorEastAsia" w:cstheme="minorEastAsia"/>
          <w:b/>
          <w:snapToGrid w:val="0"/>
          <w:kern w:val="0"/>
          <w:szCs w:val="21"/>
          <w:lang w:val="zh-CN"/>
        </w:rPr>
        <w:t>竞争性谈判采购文件的澄清</w:t>
      </w:r>
      <w:bookmarkEnd w:id="34"/>
      <w:bookmarkEnd w:id="35"/>
    </w:p>
    <w:p>
      <w:pPr>
        <w:numPr>
          <w:ilvl w:val="1"/>
          <w:numId w:val="14"/>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供应商获取竞争性谈判采购文件后，应认真检查，如发现页数不全、附件缺失、印刷模糊等，应通知采购代理机构补全或更换，否则风险自负。</w:t>
      </w:r>
    </w:p>
    <w:p>
      <w:pPr>
        <w:numPr>
          <w:ilvl w:val="1"/>
          <w:numId w:val="14"/>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谈判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采购代理机构对于符合澄清要求的，将以书面形式给所有接收谈判文件的供应商予以答复(答复中不包括问题的来源)，供应商收到答复后应在24小时内以书面形式向采购代理机构予以确认。</w:t>
      </w:r>
    </w:p>
    <w:p>
      <w:pPr>
        <w:numPr>
          <w:ilvl w:val="1"/>
          <w:numId w:val="14"/>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供应商在规定的时间内未对竞争性谈判采购文件澄清或提出疑问的，采购代理机构将视其为同意。</w:t>
      </w:r>
    </w:p>
    <w:p>
      <w:pPr>
        <w:numPr>
          <w:ilvl w:val="1"/>
          <w:numId w:val="14"/>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澄清的内容是本竞争性谈判采购文件的组成部分，当竞争性谈判采购文件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8"/>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36" w:name="_Toc31761"/>
      <w:bookmarkStart w:id="37" w:name="_Toc93"/>
      <w:r>
        <w:rPr>
          <w:rFonts w:hint="eastAsia" w:asciiTheme="minorEastAsia" w:hAnsiTheme="minorEastAsia" w:eastAsiaTheme="minorEastAsia" w:cstheme="minorEastAsia"/>
          <w:b/>
          <w:snapToGrid w:val="0"/>
          <w:kern w:val="0"/>
          <w:szCs w:val="21"/>
          <w:lang w:val="zh-CN"/>
        </w:rPr>
        <w:t>竞争性谈判采购文件的修改</w:t>
      </w:r>
      <w:bookmarkEnd w:id="36"/>
      <w:bookmarkEnd w:id="37"/>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谈判采购文件进行必要的修改，修改的内容是谈判文件的组成部分，采购代理机构将以书面形式通知所有接受谈判文件的供应商，供应商在收到上述通知后，应在24小时内以书面形式向采购代理机构予以确认。</w:t>
      </w:r>
    </w:p>
    <w:p>
      <w:pPr>
        <w:numPr>
          <w:ilvl w:val="1"/>
          <w:numId w:val="15"/>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当谈判文件、修改文件对同一内容的表述不一致时，以最后发出的书面文件为准。</w:t>
      </w:r>
    </w:p>
    <w:p>
      <w:pPr>
        <w:numPr>
          <w:ilvl w:val="1"/>
          <w:numId w:val="15"/>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3</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3</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8" w:name="_Toc2537"/>
      <w:r>
        <w:rPr>
          <w:rFonts w:hint="eastAsia" w:asciiTheme="minorEastAsia" w:hAnsiTheme="minorEastAsia" w:eastAsiaTheme="minorEastAsia" w:cstheme="minorEastAsia"/>
          <w:b/>
          <w:szCs w:val="21"/>
        </w:rPr>
        <w:t>竞争性</w:t>
      </w:r>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响应文件</w:t>
      </w:r>
      <w:bookmarkEnd w:id="38"/>
    </w:p>
    <w:p>
      <w:pPr>
        <w:numPr>
          <w:ilvl w:val="0"/>
          <w:numId w:val="8"/>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39" w:name="_Toc30987"/>
      <w:bookmarkStart w:id="40" w:name="_Toc19197"/>
      <w:r>
        <w:rPr>
          <w:rFonts w:hint="eastAsia" w:asciiTheme="minorEastAsia" w:hAnsiTheme="minorEastAsia" w:eastAsiaTheme="minorEastAsia" w:cstheme="minorEastAsia"/>
          <w:b/>
          <w:snapToGrid w:val="0"/>
          <w:kern w:val="0"/>
          <w:szCs w:val="21"/>
          <w:lang w:val="zh-CN"/>
        </w:rPr>
        <w:t>语言和计量单位</w:t>
      </w:r>
      <w:bookmarkEnd w:id="39"/>
      <w:bookmarkEnd w:id="40"/>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谈判响应文件以及供应商与采购代理机构或采购人就有关谈判的所有来往信函、电报、传真等均应使用中文。供应商提交的支持文件或印刷的文献可以用另一种语言，但相应内容应附有中文翻译本，在解释竞争性谈判响应文件时以中文翻译本为准。</w:t>
      </w:r>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除非竞争性谈判采购文件中另有规定，计量单位均采用中华人民共和国法定的计量单位。</w:t>
      </w:r>
    </w:p>
    <w:p>
      <w:pPr>
        <w:numPr>
          <w:ilvl w:val="0"/>
          <w:numId w:val="8"/>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1" w:name="_Toc28167"/>
      <w:bookmarkStart w:id="42" w:name="_Toc32272"/>
      <w:r>
        <w:rPr>
          <w:rFonts w:hint="eastAsia" w:asciiTheme="minorEastAsia" w:hAnsiTheme="minorEastAsia" w:eastAsiaTheme="minorEastAsia" w:cstheme="minorEastAsia"/>
          <w:b/>
          <w:snapToGrid w:val="0"/>
          <w:kern w:val="0"/>
          <w:szCs w:val="21"/>
          <w:lang w:val="zh-CN"/>
        </w:rPr>
        <w:t>竞争性谈判响应文件的构成</w:t>
      </w:r>
      <w:bookmarkEnd w:id="41"/>
      <w:bookmarkEnd w:id="42"/>
    </w:p>
    <w:p>
      <w:pPr>
        <w:numPr>
          <w:ilvl w:val="1"/>
          <w:numId w:val="17"/>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供应商编制的竞争性谈判响应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8"/>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3" w:name="_Toc25217"/>
      <w:bookmarkStart w:id="44" w:name="_Toc5067"/>
      <w:r>
        <w:rPr>
          <w:rFonts w:hint="eastAsia" w:asciiTheme="minorEastAsia" w:hAnsiTheme="minorEastAsia" w:eastAsiaTheme="minorEastAsia" w:cstheme="minorEastAsia"/>
          <w:b/>
          <w:snapToGrid w:val="0"/>
          <w:kern w:val="0"/>
          <w:szCs w:val="21"/>
          <w:lang w:val="zh-CN"/>
        </w:rPr>
        <w:t>竞争性谈判响应文件的编制</w:t>
      </w:r>
      <w:bookmarkEnd w:id="43"/>
      <w:bookmarkEnd w:id="44"/>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8"/>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5" w:name="_Toc24544"/>
      <w:bookmarkStart w:id="46" w:name="_Toc28873"/>
      <w:r>
        <w:rPr>
          <w:rFonts w:hint="eastAsia" w:asciiTheme="minorEastAsia" w:hAnsiTheme="minorEastAsia" w:eastAsiaTheme="minorEastAsia" w:cstheme="minorEastAsia"/>
          <w:b/>
          <w:snapToGrid w:val="0"/>
          <w:kern w:val="0"/>
          <w:szCs w:val="21"/>
          <w:lang w:val="zh-CN"/>
        </w:rPr>
        <w:t>谈判报价</w:t>
      </w:r>
      <w:bookmarkEnd w:id="45"/>
      <w:bookmarkEnd w:id="46"/>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谈判报价包括谈判供应商在首次提交的响应文件中的报价、谈判过程中的报价和最后报价。谈判供应商的报价均应以人民币报价。</w:t>
      </w:r>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谈判采购文件确定的格式报出。报价中不得包含竞争性谈判采购文件要求以外的内容，否则，在评审时不予核减。报价中也不得缺漏竞争性谈判采购文件所要求的内容，否则，其响应文件将被视为无效文件。</w:t>
      </w:r>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文件的规定和要求、市场价格水平及其走势、</w:t>
      </w:r>
      <w:r>
        <w:rPr>
          <w:rFonts w:hint="eastAsia" w:asciiTheme="minorEastAsia" w:hAnsiTheme="minorEastAsia" w:eastAsiaTheme="minorEastAsia" w:cstheme="minorEastAsia"/>
          <w:snapToGrid w:val="0"/>
          <w:kern w:val="0"/>
          <w:szCs w:val="21"/>
          <w:lang w:val="zh-CN"/>
        </w:rPr>
        <w:t>谈判</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谈判</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报价应包含完成本采购文件采购需求全部内容的所有费用，所有根据本采购文件或其它原因应由谈判供应商支付的税款和其他应缴纳的费用都应包括在报价中。</w:t>
      </w:r>
      <w:r>
        <w:rPr>
          <w:rFonts w:hint="eastAsia" w:asciiTheme="minorEastAsia" w:hAnsiTheme="minorEastAsia" w:eastAsiaTheme="minorEastAsia" w:cstheme="minorEastAsia"/>
          <w:szCs w:val="21"/>
        </w:rPr>
        <w:t>但</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供应商不得以低于其成本的价格进行报价。</w:t>
      </w:r>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1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8"/>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7" w:name="_Toc15905"/>
      <w:bookmarkStart w:id="48" w:name="_Toc6176"/>
      <w:r>
        <w:rPr>
          <w:rFonts w:hint="eastAsia" w:asciiTheme="minorEastAsia" w:hAnsiTheme="minorEastAsia" w:eastAsiaTheme="minorEastAsia" w:cstheme="minorEastAsia"/>
          <w:b/>
          <w:snapToGrid w:val="0"/>
          <w:kern w:val="0"/>
          <w:szCs w:val="21"/>
          <w:lang w:val="zh-CN"/>
        </w:rPr>
        <w:t>备选方案</w:t>
      </w:r>
      <w:bookmarkEnd w:id="47"/>
      <w:bookmarkEnd w:id="48"/>
    </w:p>
    <w:p>
      <w:pPr>
        <w:numPr>
          <w:ilvl w:val="1"/>
          <w:numId w:val="20"/>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8"/>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9" w:name="_Toc3324"/>
      <w:bookmarkStart w:id="50" w:name="_Toc31634"/>
      <w:r>
        <w:rPr>
          <w:rFonts w:hint="eastAsia" w:asciiTheme="minorEastAsia" w:hAnsiTheme="minorEastAsia" w:eastAsiaTheme="minorEastAsia" w:cstheme="minorEastAsia"/>
          <w:b/>
          <w:snapToGrid w:val="0"/>
          <w:kern w:val="0"/>
          <w:szCs w:val="21"/>
          <w:lang w:val="zh-CN"/>
        </w:rPr>
        <w:t>联合体</w:t>
      </w:r>
      <w:bookmarkEnd w:id="49"/>
      <w:bookmarkEnd w:id="50"/>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1" w:name="_Toc7039"/>
      <w:bookmarkStart w:id="52" w:name="_Toc2434"/>
      <w:r>
        <w:rPr>
          <w:rFonts w:hint="eastAsia" w:asciiTheme="minorEastAsia" w:hAnsiTheme="minorEastAsia" w:eastAsiaTheme="minorEastAsia" w:cstheme="minorEastAsia"/>
          <w:b/>
          <w:snapToGrid w:val="0"/>
          <w:kern w:val="0"/>
          <w:szCs w:val="21"/>
          <w:lang w:val="zh-CN"/>
        </w:rPr>
        <w:t>供应商资格证明文件</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供应商应在响应文件提交证明其有资格参加谈判的证明文件，证明文件应包括下列文件：</w:t>
      </w:r>
    </w:p>
    <w:p>
      <w:pPr>
        <w:numPr>
          <w:ilvl w:val="3"/>
          <w:numId w:val="23"/>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证明材料仅限于谈判供应商单位本身，母公司、股东单位和子公司的材料不能作为证明材料，但谈判供应商单位兼并的企业的材料可作为证明材料。必须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9935"/>
      <w:bookmarkStart w:id="54" w:name="_Toc6374"/>
      <w:r>
        <w:rPr>
          <w:rFonts w:hint="eastAsia" w:asciiTheme="minorEastAsia" w:hAnsiTheme="minorEastAsia" w:eastAsiaTheme="minorEastAsia" w:cstheme="minorEastAsia"/>
          <w:b/>
          <w:snapToGrid w:val="0"/>
          <w:kern w:val="0"/>
          <w:szCs w:val="21"/>
          <w:lang w:val="zh-CN"/>
        </w:rPr>
        <w:t>证明报价内容、服务合格性和符合竞争性谈判采购文件规定的文件</w:t>
      </w:r>
      <w:bookmarkEnd w:id="53"/>
      <w:bookmarkEnd w:id="54"/>
    </w:p>
    <w:p>
      <w:pPr>
        <w:numPr>
          <w:ilvl w:val="1"/>
          <w:numId w:val="24"/>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证明报价内容符合竞争性谈判采购文件要求的文件和竞争性谈判采购文件规定的其他资料，具体要求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5" w:name="_Toc27068"/>
      <w:bookmarkStart w:id="56" w:name="_Toc5976"/>
      <w:r>
        <w:rPr>
          <w:rFonts w:hint="eastAsia" w:asciiTheme="minorEastAsia" w:hAnsiTheme="minorEastAsia" w:eastAsiaTheme="minorEastAsia" w:cstheme="minorEastAsia"/>
          <w:b/>
          <w:snapToGrid w:val="0"/>
          <w:color w:val="auto"/>
          <w:kern w:val="0"/>
          <w:szCs w:val="21"/>
          <w:lang w:val="zh-CN"/>
        </w:rPr>
        <w:t>谈判保证金</w:t>
      </w:r>
      <w:bookmarkEnd w:id="55"/>
      <w:bookmarkEnd w:id="56"/>
    </w:p>
    <w:p>
      <w:pPr>
        <w:numPr>
          <w:ilvl w:val="1"/>
          <w:numId w:val="25"/>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本采购文件是否要求递交谈判保证金及保证金金额、递交方式、递交时间、接受保证金的帐户信息等详见《供应商须知前附表》。</w:t>
      </w:r>
    </w:p>
    <w:p>
      <w:pPr>
        <w:numPr>
          <w:ilvl w:val="1"/>
          <w:numId w:val="25"/>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交谈判保证金的，谈判保证金作为竞争性谈判响应文件的组成部分，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凡未按规定递交谈判保证金的报价，其响应文件将被视为无效文件。</w:t>
      </w:r>
    </w:p>
    <w:p>
      <w:pPr>
        <w:numPr>
          <w:ilvl w:val="1"/>
          <w:numId w:val="25"/>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谈判保证金有效时间：谈判保证金的有效期与本次谈判有效期一致。</w:t>
      </w:r>
    </w:p>
    <w:p>
      <w:pPr>
        <w:numPr>
          <w:ilvl w:val="1"/>
          <w:numId w:val="25"/>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5"/>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保证金的退还：未成交的谈判供应商，其谈判保证金在成交通知书发出后5个工作日内不计利息原额退还，成交供应商的谈判保证金，在成交供应商与采购人签订合同后5个工作日内不计利息原额退还。</w:t>
      </w:r>
    </w:p>
    <w:p>
      <w:pPr>
        <w:numPr>
          <w:ilvl w:val="1"/>
          <w:numId w:val="25"/>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有下列情形之一的，谈判保证金将不予退还:</w:t>
      </w:r>
    </w:p>
    <w:p>
      <w:pPr>
        <w:numPr>
          <w:ilvl w:val="0"/>
          <w:numId w:val="26"/>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6"/>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6"/>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除因不可抗力或谈判文件认可的情形以外，成交供应商不与采购人签订合同的；</w:t>
      </w:r>
    </w:p>
    <w:p>
      <w:pPr>
        <w:numPr>
          <w:ilvl w:val="0"/>
          <w:numId w:val="26"/>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6"/>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7" w:name="_Toc5668"/>
      <w:bookmarkStart w:id="58" w:name="_Toc19838"/>
      <w:r>
        <w:rPr>
          <w:rFonts w:hint="eastAsia" w:asciiTheme="minorEastAsia" w:hAnsiTheme="minorEastAsia" w:eastAsiaTheme="minorEastAsia" w:cstheme="minorEastAsia"/>
          <w:b/>
          <w:snapToGrid w:val="0"/>
          <w:kern w:val="0"/>
          <w:szCs w:val="21"/>
          <w:lang w:val="zh-CN"/>
        </w:rPr>
        <w:t>谈判有效期</w:t>
      </w:r>
      <w:bookmarkEnd w:id="57"/>
      <w:bookmarkEnd w:id="58"/>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谈判有效期从谈判结束之日起计算，本次采购谈判有效期见《供应商须知前附表》，谈判供应商承诺的谈判有效期不足的，其响应文件将被视为无效文件。</w:t>
      </w:r>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谈判有效期截止之前，采购代理机构或采购人可要求供应商延长谈判有效期。需要延长谈判有效期时，采购代理机构或采购人将以书面形式通知所有谈判供应商，供应商应以书面形式答复是否同意延长谈判有效期。供应商同意延长的，其谈判保证金有效期相应延长，但不得要求或被允许修改或撤销其响应文件；供应商拒绝延长的，其响应文件在原谈判有效期满后将不再有效，供应商有权收回其投标保证金。</w:t>
      </w:r>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供应商同意延长谈判有效期的，不得要求或被允许修改或撤销其竞争性谈判响应文件；供应商拒绝延长的，其响应文件失效，但供应商有权收回其谈判保证金。</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highlight w:val="none"/>
          <w:lang w:val="zh-CN"/>
        </w:rPr>
      </w:pPr>
      <w:bookmarkStart w:id="59" w:name="_Toc5703"/>
      <w:bookmarkStart w:id="60" w:name="_Toc8272"/>
      <w:r>
        <w:rPr>
          <w:rFonts w:hint="eastAsia" w:asciiTheme="minorEastAsia" w:hAnsiTheme="minorEastAsia" w:eastAsiaTheme="minorEastAsia" w:cstheme="minorEastAsia"/>
          <w:b/>
          <w:snapToGrid w:val="0"/>
          <w:kern w:val="0"/>
          <w:szCs w:val="21"/>
          <w:highlight w:val="none"/>
          <w:lang w:val="zh-CN"/>
        </w:rPr>
        <w:t>竞争性谈判响应文件的装订、签署和数量</w:t>
      </w:r>
      <w:bookmarkEnd w:id="59"/>
      <w:bookmarkEnd w:id="60"/>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。本次谈判供应商提交响应文件正、副本和电子文档的数量见《供应商须知前附表》。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both"/>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与响应文件正本不符，以正本为准。电子文档与纸质文件不符，以纸质文件为准。</w:t>
      </w:r>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竞争性谈判响应文件中的任何行间插字、涂改和增删，必须由法定代表人或授权代表在旁边签字才有效。</w:t>
      </w:r>
    </w:p>
    <w:p>
      <w:pPr>
        <w:numPr>
          <w:ilvl w:val="1"/>
          <w:numId w:val="28"/>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响应文件应当采用不可拆卸的方法的装订，对未经装订的竞争性谈判响应文件可能发生的文件散落或缺损及由此产生的后果由谈判供应商承担。</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1" w:name="_Toc15147"/>
      <w:r>
        <w:rPr>
          <w:rFonts w:hint="eastAsia" w:asciiTheme="minorEastAsia" w:hAnsiTheme="minorEastAsia" w:eastAsiaTheme="minorEastAsia" w:cstheme="minorEastAsia"/>
          <w:b/>
          <w:szCs w:val="21"/>
        </w:rPr>
        <w:t>竞争性</w:t>
      </w:r>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响应文件的递交</w:t>
      </w:r>
      <w:bookmarkEnd w:id="61"/>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2" w:name="_Toc27305"/>
      <w:bookmarkStart w:id="63" w:name="_Toc19448"/>
      <w:r>
        <w:rPr>
          <w:rFonts w:hint="eastAsia" w:asciiTheme="minorEastAsia" w:hAnsiTheme="minorEastAsia" w:eastAsiaTheme="minorEastAsia" w:cstheme="minorEastAsia"/>
          <w:b/>
          <w:szCs w:val="21"/>
        </w:rPr>
        <w:t>竞争性</w:t>
      </w:r>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响应文件</w:t>
      </w:r>
      <w:r>
        <w:rPr>
          <w:rFonts w:hint="eastAsia" w:asciiTheme="minorEastAsia" w:hAnsiTheme="minorEastAsia" w:eastAsiaTheme="minorEastAsia" w:cstheme="minorEastAsia"/>
          <w:b/>
          <w:snapToGrid w:val="0"/>
          <w:kern w:val="0"/>
          <w:szCs w:val="21"/>
          <w:lang w:val="zh-CN"/>
        </w:rPr>
        <w:t>的密封和标记</w:t>
      </w:r>
      <w:bookmarkEnd w:id="62"/>
      <w:bookmarkEnd w:id="63"/>
    </w:p>
    <w:p>
      <w:pPr>
        <w:numPr>
          <w:ilvl w:val="1"/>
          <w:numId w:val="29"/>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（谈判</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29"/>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29"/>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要求在谈判时提交样品的，</w:t>
      </w:r>
      <w:r>
        <w:rPr>
          <w:rFonts w:hint="eastAsia" w:asciiTheme="minorEastAsia" w:hAnsiTheme="minorEastAsia" w:eastAsiaTheme="minorEastAsia" w:cstheme="minorEastAsia"/>
          <w:snapToGrid w:val="0"/>
          <w:kern w:val="0"/>
          <w:szCs w:val="21"/>
          <w:lang w:val="en-US" w:eastAsia="zh-CN"/>
        </w:rPr>
        <w:t>是否</w:t>
      </w:r>
      <w:r>
        <w:rPr>
          <w:rFonts w:hint="eastAsia" w:asciiTheme="minorEastAsia" w:hAnsiTheme="minorEastAsia" w:eastAsiaTheme="minorEastAsia" w:cstheme="minorEastAsia"/>
          <w:snapToGrid w:val="0"/>
          <w:kern w:val="0"/>
          <w:szCs w:val="21"/>
          <w:lang w:val="zh-CN"/>
        </w:rPr>
        <w:t>在样品上标明谈判供应商名称，有关提交及退还样品的相关规定。见《供应商须知前附表》。</w:t>
      </w:r>
    </w:p>
    <w:p>
      <w:pPr>
        <w:numPr>
          <w:ilvl w:val="0"/>
          <w:numId w:val="8"/>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25498"/>
      <w:bookmarkStart w:id="65" w:name="_Toc17857"/>
      <w:r>
        <w:rPr>
          <w:rFonts w:hint="eastAsia" w:asciiTheme="minorEastAsia" w:hAnsiTheme="minorEastAsia" w:eastAsiaTheme="minorEastAsia" w:cstheme="minorEastAsia"/>
          <w:b/>
          <w:snapToGrid w:val="0"/>
          <w:kern w:val="0"/>
          <w:szCs w:val="21"/>
          <w:lang w:val="zh-CN"/>
        </w:rPr>
        <w:t>竞争性谈判响应文件的送达地点及截止时间</w:t>
      </w:r>
      <w:bookmarkEnd w:id="64"/>
      <w:bookmarkEnd w:id="65"/>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竞争性谈判文件</w:t>
      </w:r>
      <w:r>
        <w:rPr>
          <w:rFonts w:hint="eastAsia" w:asciiTheme="minorEastAsia" w:hAnsiTheme="minorEastAsia" w:eastAsiaTheme="minorEastAsia" w:cstheme="minorEastAsia"/>
          <w:snapToGrid w:val="0"/>
          <w:kern w:val="0"/>
          <w:szCs w:val="21"/>
          <w:lang w:val="zh-CN"/>
        </w:rPr>
        <w:t>中规定的首次送达、提交响应文件的最后时间。本次谈判响应文件的送达地点及截止时间见《供应商须知前附表》。</w:t>
      </w:r>
    </w:p>
    <w:p>
      <w:pPr>
        <w:numPr>
          <w:ilvl w:val="0"/>
          <w:numId w:val="8"/>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9542"/>
      <w:bookmarkStart w:id="67" w:name="_Toc31376"/>
      <w:r>
        <w:rPr>
          <w:rFonts w:hint="eastAsia" w:asciiTheme="minorEastAsia" w:hAnsiTheme="minorEastAsia" w:eastAsiaTheme="minorEastAsia" w:cstheme="minorEastAsia"/>
          <w:b/>
          <w:snapToGrid w:val="0"/>
          <w:kern w:val="0"/>
          <w:szCs w:val="21"/>
          <w:lang w:val="zh-CN"/>
        </w:rPr>
        <w:t>迟交的竞争性谈判响应文件</w:t>
      </w:r>
      <w:bookmarkEnd w:id="66"/>
      <w:bookmarkEnd w:id="67"/>
    </w:p>
    <w:p>
      <w:pPr>
        <w:numPr>
          <w:ilvl w:val="1"/>
          <w:numId w:val="30"/>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在本次谈判递交响应文件的截止时间以后送达的响应文件，不论何种原因，采购代理机构将拒收。</w:t>
      </w:r>
    </w:p>
    <w:p>
      <w:pPr>
        <w:numPr>
          <w:ilvl w:val="0"/>
          <w:numId w:val="8"/>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21116"/>
      <w:bookmarkStart w:id="69" w:name="_Toc31760"/>
      <w:r>
        <w:rPr>
          <w:rFonts w:hint="eastAsia" w:asciiTheme="minorEastAsia" w:hAnsiTheme="minorEastAsia" w:eastAsiaTheme="minorEastAsia" w:cstheme="minorEastAsia"/>
          <w:b/>
          <w:snapToGrid w:val="0"/>
          <w:kern w:val="0"/>
          <w:szCs w:val="21"/>
          <w:lang w:val="zh-CN"/>
        </w:rPr>
        <w:t>竞争性谈判响应文件的补充、修改或者撤回</w:t>
      </w:r>
      <w:bookmarkEnd w:id="68"/>
      <w:bookmarkEnd w:id="69"/>
    </w:p>
    <w:p>
      <w:pPr>
        <w:numPr>
          <w:ilvl w:val="1"/>
          <w:numId w:val="31"/>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1"/>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响应文件截止时间至谈判有效期期满这段时间，供应商不得修改或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其响应文件，否则其谈判保证金将不予以退还。</w:t>
      </w:r>
    </w:p>
    <w:p>
      <w:pPr>
        <w:numPr>
          <w:ilvl w:val="1"/>
          <w:numId w:val="31"/>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供应商所提交的响应文件在谈判结束后，无论成交与否都不退还。</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0" w:name="_Toc4190"/>
      <w:r>
        <w:rPr>
          <w:rFonts w:hint="eastAsia" w:asciiTheme="minorEastAsia" w:hAnsiTheme="minorEastAsia" w:eastAsiaTheme="minorEastAsia" w:cstheme="minorEastAsia"/>
          <w:b/>
          <w:szCs w:val="21"/>
          <w:lang w:eastAsia="zh-CN"/>
        </w:rPr>
        <w:t>谈判</w:t>
      </w:r>
      <w:r>
        <w:rPr>
          <w:rFonts w:hint="eastAsia" w:asciiTheme="minorEastAsia" w:hAnsiTheme="minorEastAsia" w:eastAsiaTheme="minorEastAsia" w:cstheme="minorEastAsia"/>
          <w:b/>
          <w:szCs w:val="21"/>
        </w:rPr>
        <w:t>程序及步骤</w:t>
      </w:r>
      <w:bookmarkEnd w:id="70"/>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1" w:name="_Toc22624"/>
      <w:bookmarkStart w:id="72" w:name="_Toc29083"/>
      <w:r>
        <w:rPr>
          <w:rFonts w:hint="eastAsia" w:asciiTheme="minorEastAsia" w:hAnsiTheme="minorEastAsia" w:eastAsiaTheme="minorEastAsia" w:cstheme="minorEastAsia"/>
          <w:b/>
        </w:rPr>
        <w:t>竞争性</w:t>
      </w:r>
      <w:r>
        <w:rPr>
          <w:rFonts w:hint="eastAsia" w:asciiTheme="minorEastAsia" w:hAnsiTheme="minorEastAsia" w:eastAsiaTheme="minorEastAsia" w:cstheme="minorEastAsia"/>
          <w:b/>
          <w:lang w:eastAsia="zh-CN"/>
        </w:rPr>
        <w:t>谈判</w:t>
      </w:r>
      <w:r>
        <w:rPr>
          <w:rFonts w:hint="eastAsia" w:asciiTheme="minorEastAsia" w:hAnsiTheme="minorEastAsia" w:eastAsiaTheme="minorEastAsia" w:cstheme="minorEastAsia"/>
          <w:b/>
        </w:rPr>
        <w:t>小组</w:t>
      </w:r>
      <w:bookmarkEnd w:id="71"/>
      <w:bookmarkEnd w:id="72"/>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根据中华人民共和国财政部第</w:t>
      </w:r>
      <w:r>
        <w:rPr>
          <w:rFonts w:hint="eastAsia" w:asciiTheme="minorEastAsia" w:hAnsiTheme="minorEastAsia" w:eastAsiaTheme="minorEastAsia" w:cstheme="minorEastAsia"/>
          <w:bCs/>
          <w:szCs w:val="21"/>
          <w:lang w:val="en-US" w:eastAsia="zh-CN"/>
        </w:rPr>
        <w:t>74</w:t>
      </w:r>
      <w:r>
        <w:rPr>
          <w:rFonts w:hint="eastAsia" w:asciiTheme="minorEastAsia" w:hAnsiTheme="minorEastAsia" w:eastAsiaTheme="minorEastAsia" w:cstheme="minorEastAsia"/>
          <w:bCs/>
          <w:szCs w:val="21"/>
        </w:rPr>
        <w:t>号令的规定，采购代理机构将组织谈判小组对谈判供应商逐一进行谈判，谈判小组依照《中华人民共和国政府采购法》的有关规定组建，其中外聘专家从湖北省政府采购专家库中随机抽取。</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谈判供应商须携带本人身份证明、法人代表授权书原件，经工作人员查验核对后，方可正式参加谈判。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在谈判过程中，谈判小组将集中与单一供应商分别进行谈判，在正式谈判前，首先对供应商进行资格审查，通过资格审查的供应商继续进行谈判，资格审查不合格的供应商退出谈判。在谈判中，谈判的任何一方不得透露与谈判有关的其他谈判供应商的技术资料、价格和其他信息。竞争性谈判采购文件有修改的，谈判小组应当以书面形式通知所有响应供应商。</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23.4谈判小组在满足最终报价条件的前提下，确定商务条款及各响应供应商所提供的产品质量、售前售后服务的要求。各响应供应商按照谈判小组的要求在指定的时间内提交满足上述要求的最终报价。谈判小组根据评定办法确定成交供应商。</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3" w:name="_Toc21483"/>
      <w:bookmarkStart w:id="74" w:name="_Toc31465"/>
      <w:r>
        <w:rPr>
          <w:rFonts w:hint="eastAsia" w:asciiTheme="minorEastAsia" w:hAnsiTheme="minorEastAsia" w:eastAsiaTheme="minorEastAsia" w:cstheme="minorEastAsia"/>
          <w:b/>
          <w:lang w:eastAsia="zh-CN"/>
        </w:rPr>
        <w:t>谈判</w:t>
      </w:r>
      <w:bookmarkEnd w:id="73"/>
      <w:r>
        <w:rPr>
          <w:rFonts w:hint="eastAsia" w:asciiTheme="minorEastAsia" w:hAnsiTheme="minorEastAsia" w:eastAsiaTheme="minorEastAsia" w:cstheme="minorEastAsia"/>
          <w:b/>
          <w:lang w:val="en-US" w:eastAsia="zh-CN"/>
        </w:rPr>
        <w:t>步骤</w:t>
      </w:r>
      <w:bookmarkEnd w:id="74"/>
    </w:p>
    <w:p>
      <w:pPr>
        <w:pStyle w:val="21"/>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24.1 第一轮谈判</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  谈判小组按事先抽取的谈判顺序，与单一谈判供应商进行谈判，在正式谈判前，首先对供应商进行资格审查，通过资格审查的供应商继续进行谈判，资格审查不合格的供应商退出谈判。谈判小组就符合采购需求、质量和服务等与通过资格审查的供应商进行谈判，并了解其报价组成情况。</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  谈判中，谈判的任何一方不得透露与谈判有关的其他谈判供应商的技术资料、价格和其它信息。</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  采购代理机构对谈判过程和重要谈判内容进行记录，谈判双方在记录上签字确认。</w:t>
      </w:r>
    </w:p>
    <w:p>
      <w:pPr>
        <w:pStyle w:val="21"/>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24.2 竞争性谈判采购文件的修正</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  第一轮谈判结束后，各谈判供应商退场等候。谈判小组进行合议，按竞争性谈判采购文件设定的初步审核标准确定响应供应商。初步审核未通过的谈判供应商不能成为响应供应商，进入后续的谈判和最终报价环节。</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  根据第一轮谈判掌握的情况，谈判小组可以对竞争性谈判采购文件进行修改，确定采购需求的详细规格或具体要求，优化采购方案。采购代理机构通知响应供应商集中，谈判小组将竞争性谈判采购文件修改书面通知发放至所有响应供应商，并提供必要的修正时间。</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  响应供应商根据第一轮谈判情况和竞争性谈判采购文件修改书面通知，对原竞争性谈判响应文件进行技术、商务、价格修正，并将修正的响应文件签字（盖章）后密封提交至谈判小组。逾时不交的，视同放弃谈判。修正的响应文件与原响应文件同具法律效应。</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  竞标报价有算术错误的，谈判小组按照以下原则对竞标报价进行修正，修正的价格经供应商书面确认后具有约束力。供应商不接受修正价格的，谈判小组应当否决其竞标。</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 1 \* GB3 \* MERGEFORMAT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①</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 2 \* GB3 \* MERGEFORMAT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②</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总价金额与根据单价计算出的结果不一致的，以单价金额为准修正总价，但单价金额小数点有明显错误的除外。</w:t>
      </w:r>
    </w:p>
    <w:p>
      <w:pPr>
        <w:pStyle w:val="21"/>
        <w:keepNext w:val="0"/>
        <w:keepLines w:val="0"/>
        <w:pageBreakBefore w:val="0"/>
        <w:widowControl w:val="0"/>
        <w:kinsoku/>
        <w:wordWrap/>
        <w:overflowPunct/>
        <w:topLinePunct w:val="0"/>
        <w:autoSpaceDE/>
        <w:autoSpaceDN/>
        <w:bidi w:val="0"/>
        <w:adjustRightInd/>
        <w:snapToGrid/>
        <w:spacing w:line="360" w:lineRule="auto"/>
        <w:ind w:left="539" w:hanging="539" w:firstLineChars="0"/>
        <w:jc w:val="lef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  如有需要，谈判小组可进行多轮谈判，直至将最终确定的竞争性谈判采购文件修改书面通知发放至所有响应供应商。如竞争性谈判采购文件无需修改，可直接向响应供应商发出最终报价书。</w:t>
      </w:r>
    </w:p>
    <w:p>
      <w:pPr>
        <w:pStyle w:val="21"/>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24.3 最终报价</w:t>
      </w:r>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630" w:leftChars="300" w:firstLine="92" w:firstLineChars="44"/>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采购代理机构将已确定条件的最终报价书发放至所有响应供应商，要求响应供应商在指定的时间内提交满足要求的最终报价，密封递交谈判小组。最终报价为本次竞争性谈判不可变动的最终价格。谈判小组审核完最终报价后，根据竞争性谈判采购文件规定的评定办法确定成交供应商。</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75" w:name="_Toc7905"/>
      <w:r>
        <w:rPr>
          <w:rFonts w:hint="eastAsia" w:asciiTheme="minorEastAsia" w:hAnsiTheme="minorEastAsia" w:eastAsiaTheme="minorEastAsia" w:cstheme="minorEastAsia"/>
          <w:b/>
        </w:rPr>
        <w:t>资格审查和符合性审查</w:t>
      </w:r>
      <w:bookmarkEnd w:id="75"/>
    </w:p>
    <w:p>
      <w:pPr>
        <w:keepNext w:val="0"/>
        <w:keepLines w:val="0"/>
        <w:pageBreakBefore w:val="0"/>
        <w:widowControl w:val="0"/>
        <w:kinsoku/>
        <w:wordWrap/>
        <w:overflowPunct/>
        <w:topLinePunct w:val="0"/>
        <w:autoSpaceDE/>
        <w:autoSpaceDN/>
        <w:bidi w:val="0"/>
        <w:adjustRightInd/>
        <w:snapToGrid/>
        <w:spacing w:line="360" w:lineRule="auto"/>
        <w:ind w:left="539" w:hanging="539"/>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前，本</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文件第四章规定的程序和方法，对供应商进行资格性审查和符合性审查，通过资格性审查和符合性审查，实质性响应</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文件的供应商方可进入</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程序。</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6" w:name="_Toc24197"/>
      <w:r>
        <w:rPr>
          <w:rFonts w:hint="eastAsia" w:asciiTheme="minorEastAsia" w:hAnsiTheme="minorEastAsia" w:eastAsiaTheme="minorEastAsia" w:cstheme="minorEastAsia"/>
          <w:b/>
          <w:szCs w:val="21"/>
        </w:rPr>
        <w:t>成交与签订合同</w:t>
      </w:r>
      <w:bookmarkEnd w:id="76"/>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77" w:name="_Toc7011"/>
      <w:r>
        <w:rPr>
          <w:rFonts w:hint="eastAsia" w:ascii="宋体" w:hAnsi="宋体" w:cs="宋体"/>
          <w:b/>
          <w:snapToGrid w:val="0"/>
          <w:szCs w:val="21"/>
          <w:lang w:val="zh-CN"/>
        </w:rPr>
        <w:t>谈判成交</w:t>
      </w:r>
      <w:bookmarkEnd w:id="77"/>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ascii="宋体" w:hAnsi="宋体" w:cs="宋体"/>
          <w:snapToGrid w:val="0"/>
          <w:szCs w:val="21"/>
          <w:lang w:val="zh-CN" w:eastAsia="zh-CN"/>
        </w:rPr>
      </w:pPr>
      <w:bookmarkStart w:id="78" w:name="_Toc20085"/>
      <w:r>
        <w:rPr>
          <w:rFonts w:hint="eastAsia" w:ascii="宋体" w:hAnsi="宋体" w:cs="宋体"/>
          <w:snapToGrid w:val="0"/>
          <w:szCs w:val="21"/>
          <w:lang w:val="en-US" w:eastAsia="zh-CN"/>
        </w:rPr>
        <w:t xml:space="preserve">26.1 </w:t>
      </w:r>
      <w:r>
        <w:rPr>
          <w:rFonts w:hint="eastAsia" w:ascii="宋体" w:hAnsi="宋体" w:cs="宋体"/>
          <w:snapToGrid w:val="0"/>
          <w:szCs w:val="21"/>
          <w:lang w:val="zh-CN" w:eastAsia="zh-CN"/>
        </w:rPr>
        <w:t>谈判结果经采购人确认后，</w:t>
      </w:r>
      <w:r>
        <w:rPr>
          <w:rFonts w:hint="eastAsia" w:ascii="宋体" w:hAnsi="宋体" w:eastAsia="宋体" w:cs="宋体"/>
          <w:snapToGrid w:val="0"/>
          <w:szCs w:val="21"/>
          <w:lang w:val="zh-CN" w:eastAsia="zh-CN"/>
        </w:rPr>
        <w:t>采购代理机构</w:t>
      </w:r>
      <w:r>
        <w:rPr>
          <w:rFonts w:hint="eastAsia" w:ascii="宋体" w:hAnsi="宋体" w:cs="宋体"/>
          <w:snapToGrid w:val="0"/>
          <w:szCs w:val="21"/>
          <w:lang w:val="zh-CN" w:eastAsia="zh-CN"/>
        </w:rPr>
        <w:t>将在</w:t>
      </w:r>
      <w:r>
        <w:rPr>
          <w:rFonts w:hint="eastAsia" w:ascii="宋体" w:hAnsi="宋体" w:cs="宋体" w:eastAsiaTheme="minorEastAsia"/>
          <w:snapToGrid w:val="0"/>
          <w:szCs w:val="21"/>
          <w:lang w:eastAsia="zh-CN"/>
        </w:rPr>
        <w:t>招标公告指定媒体网站</w:t>
      </w:r>
      <w:r>
        <w:rPr>
          <w:rFonts w:hint="eastAsia" w:ascii="宋体" w:hAnsi="宋体" w:cs="宋体"/>
          <w:snapToGrid w:val="0"/>
          <w:szCs w:val="21"/>
          <w:lang w:eastAsia="zh-CN"/>
        </w:rPr>
        <w:t>上</w:t>
      </w:r>
      <w:r>
        <w:rPr>
          <w:rFonts w:hint="eastAsia" w:ascii="宋体" w:hAnsi="宋体" w:cs="宋体"/>
          <w:snapToGrid w:val="0"/>
          <w:szCs w:val="21"/>
          <w:lang w:val="zh-CN" w:eastAsia="zh-CN"/>
        </w:rPr>
        <w:t>发布成交</w:t>
      </w:r>
      <w:r>
        <w:rPr>
          <w:rFonts w:hint="eastAsia" w:ascii="宋体" w:hAnsi="宋体" w:cs="宋体"/>
          <w:snapToGrid w:val="0"/>
          <w:szCs w:val="21"/>
          <w:lang w:eastAsia="zh-CN"/>
        </w:rPr>
        <w:t>结果</w:t>
      </w:r>
      <w:r>
        <w:rPr>
          <w:rFonts w:hint="eastAsia" w:ascii="宋体" w:hAnsi="宋体" w:cs="宋体"/>
          <w:snapToGrid w:val="0"/>
          <w:szCs w:val="21"/>
          <w:lang w:val="zh-CN" w:eastAsia="zh-CN"/>
        </w:rPr>
        <w:t>公示。</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ascii="宋体" w:hAnsi="宋体" w:cs="宋体"/>
          <w:snapToGrid w:val="0"/>
          <w:szCs w:val="21"/>
          <w:lang w:val="zh-CN" w:eastAsia="zh-CN"/>
        </w:rPr>
      </w:pPr>
      <w:r>
        <w:rPr>
          <w:rFonts w:hint="eastAsia" w:ascii="宋体" w:hAnsi="宋体" w:cs="宋体"/>
          <w:snapToGrid w:val="0"/>
          <w:szCs w:val="21"/>
          <w:lang w:val="en-US" w:eastAsia="zh-CN"/>
        </w:rPr>
        <w:t xml:space="preserve">26.2 </w:t>
      </w:r>
      <w:r>
        <w:rPr>
          <w:rFonts w:hint="eastAsia" w:ascii="宋体" w:hAnsi="宋体" w:cs="宋体"/>
          <w:snapToGrid w:val="0"/>
          <w:szCs w:val="21"/>
          <w:lang w:val="zh-CN" w:eastAsia="zh-CN"/>
        </w:rPr>
        <w:t>公示期间，谈判供应商对评审结果有异议的，可按政府采购相关规定向</w:t>
      </w:r>
      <w:r>
        <w:rPr>
          <w:rFonts w:hint="eastAsia" w:ascii="宋体" w:hAnsi="宋体" w:cs="宋体"/>
          <w:snapToGrid w:val="0"/>
          <w:szCs w:val="21"/>
          <w:lang w:eastAsia="zh-CN"/>
        </w:rPr>
        <w:t>采购</w:t>
      </w:r>
      <w:r>
        <w:rPr>
          <w:rFonts w:hint="eastAsia" w:ascii="宋体" w:hAnsi="宋体" w:cs="宋体"/>
          <w:snapToGrid w:val="0"/>
          <w:szCs w:val="21"/>
          <w:lang w:val="zh-CN" w:eastAsia="zh-CN"/>
        </w:rPr>
        <w:t>代理机构提出质疑，</w:t>
      </w:r>
      <w:r>
        <w:rPr>
          <w:rFonts w:hint="eastAsia" w:ascii="宋体" w:hAnsi="宋体" w:eastAsia="宋体" w:cs="宋体"/>
          <w:snapToGrid w:val="0"/>
          <w:szCs w:val="21"/>
          <w:lang w:val="zh-CN" w:eastAsia="zh-CN"/>
        </w:rPr>
        <w:t>采购代理机构</w:t>
      </w:r>
      <w:r>
        <w:rPr>
          <w:rFonts w:hint="eastAsia" w:ascii="宋体" w:hAnsi="宋体" w:cs="宋体"/>
          <w:snapToGrid w:val="0"/>
          <w:szCs w:val="21"/>
          <w:lang w:val="zh-CN" w:eastAsia="zh-CN"/>
        </w:rPr>
        <w:t>按相关规定作出回复。若提出质疑的谈判供应商对质疑回复不满意的，可向政府采购监管部门提出投诉，由监管部门对投诉事项作出处理决定。</w:t>
      </w:r>
    </w:p>
    <w:p>
      <w:pPr>
        <w:keepNext w:val="0"/>
        <w:keepLines w:val="0"/>
        <w:pageBreakBefore w:val="0"/>
        <w:widowControl w:val="0"/>
        <w:numPr>
          <w:ilvl w:val="0"/>
          <w:numId w:val="0"/>
        </w:numPr>
        <w:tabs>
          <w:tab w:val="left" w:pos="864"/>
          <w:tab w:val="left" w:pos="1080"/>
        </w:tabs>
        <w:kinsoku/>
        <w:wordWrap/>
        <w:overflowPunct/>
        <w:topLinePunct w:val="0"/>
        <w:bidi w:val="0"/>
        <w:snapToGrid/>
        <w:spacing w:line="360" w:lineRule="auto"/>
        <w:ind w:left="539" w:leftChars="0" w:hanging="539"/>
        <w:jc w:val="left"/>
        <w:textAlignment w:val="auto"/>
        <w:outlineLvl w:val="9"/>
        <w:rPr>
          <w:rFonts w:hint="eastAsia" w:asciiTheme="minorEastAsia" w:hAnsiTheme="minorEastAsia" w:eastAsiaTheme="minorEastAsia" w:cstheme="minorEastAsia"/>
          <w:b/>
          <w:lang w:val="zh-CN"/>
        </w:rPr>
      </w:pPr>
      <w:r>
        <w:rPr>
          <w:rFonts w:hint="eastAsia" w:ascii="宋体" w:hAnsi="宋体" w:cs="宋体"/>
          <w:snapToGrid w:val="0"/>
          <w:szCs w:val="21"/>
          <w:lang w:val="en-US" w:eastAsia="zh-CN"/>
        </w:rPr>
        <w:t xml:space="preserve">26.3 </w:t>
      </w:r>
      <w:r>
        <w:rPr>
          <w:rFonts w:hint="eastAsia" w:ascii="宋体" w:hAnsi="宋体" w:cs="宋体"/>
          <w:snapToGrid w:val="0"/>
          <w:szCs w:val="21"/>
          <w:lang w:val="zh-CN" w:eastAsia="zh-CN"/>
        </w:rPr>
        <w:t>发布成交公示时，</w:t>
      </w:r>
      <w:r>
        <w:rPr>
          <w:rFonts w:hint="eastAsia" w:ascii="宋体" w:hAnsi="宋体" w:eastAsia="宋体" w:cs="宋体"/>
          <w:snapToGrid w:val="0"/>
          <w:szCs w:val="21"/>
          <w:lang w:val="zh-CN" w:eastAsia="zh-CN"/>
        </w:rPr>
        <w:t>采购代理机构</w:t>
      </w:r>
      <w:r>
        <w:rPr>
          <w:rFonts w:hint="eastAsia" w:ascii="宋体" w:hAnsi="宋体" w:cs="宋体"/>
          <w:snapToGrid w:val="0"/>
          <w:szCs w:val="21"/>
          <w:lang w:val="zh-CN" w:eastAsia="zh-CN"/>
        </w:rPr>
        <w:t>按相关规定向成交供应商和采购人发出《成交通知书》。《成交通知书》是合同的组成部分，对成交供应商和采购人具有同等法律效力。</w:t>
      </w:r>
    </w:p>
    <w:bookmarkEnd w:id="78"/>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79" w:name="_Toc13852"/>
      <w:r>
        <w:rPr>
          <w:rFonts w:hint="eastAsia" w:asciiTheme="minorEastAsia" w:hAnsiTheme="minorEastAsia" w:eastAsiaTheme="minorEastAsia" w:cstheme="minorEastAsia"/>
          <w:b/>
          <w:lang w:val="zh-CN"/>
        </w:rPr>
        <w:t>合同授予标准</w:t>
      </w:r>
      <w:bookmarkEnd w:id="79"/>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hint="eastAsia" w:ascii="宋体" w:hAnsi="宋体" w:cs="宋体"/>
          <w:snapToGrid w:val="0"/>
          <w:szCs w:val="21"/>
          <w:lang w:val="zh-CN" w:eastAsia="zh-CN"/>
        </w:rPr>
      </w:pPr>
      <w:r>
        <w:rPr>
          <w:rFonts w:hint="eastAsia" w:ascii="宋体" w:hAnsi="宋体" w:cs="宋体"/>
          <w:snapToGrid w:val="0"/>
          <w:szCs w:val="21"/>
          <w:lang w:val="zh-CN" w:eastAsia="zh-CN"/>
        </w:rPr>
        <w:t>2</w:t>
      </w:r>
      <w:r>
        <w:rPr>
          <w:rFonts w:hint="eastAsia" w:ascii="宋体" w:hAnsi="宋体" w:cs="宋体"/>
          <w:snapToGrid w:val="0"/>
          <w:szCs w:val="21"/>
          <w:lang w:val="en-US" w:eastAsia="zh-CN"/>
        </w:rPr>
        <w:t>7</w:t>
      </w:r>
      <w:r>
        <w:rPr>
          <w:rFonts w:hint="eastAsia" w:ascii="宋体" w:hAnsi="宋体" w:cs="宋体"/>
          <w:snapToGrid w:val="0"/>
          <w:szCs w:val="21"/>
          <w:lang w:val="zh-CN" w:eastAsia="zh-CN"/>
        </w:rPr>
        <w:t>.1 采购人将把合同授予被确定为</w:t>
      </w:r>
      <w:r>
        <w:rPr>
          <w:rFonts w:hint="eastAsia" w:asciiTheme="minorEastAsia" w:hAnsiTheme="minorEastAsia" w:eastAsiaTheme="minorEastAsia" w:cstheme="minorEastAsia"/>
          <w:iCs/>
          <w:snapToGrid w:val="0"/>
          <w:kern w:val="0"/>
          <w:sz w:val="21"/>
          <w:szCs w:val="21"/>
          <w:lang w:val="zh-CN"/>
        </w:rPr>
        <w:t>排名</w:t>
      </w:r>
      <w:r>
        <w:rPr>
          <w:rFonts w:hint="eastAsia" w:asciiTheme="minorEastAsia" w:hAnsiTheme="minorEastAsia" w:eastAsiaTheme="minorEastAsia" w:cstheme="minorEastAsia"/>
          <w:iCs/>
          <w:snapToGrid w:val="0"/>
          <w:kern w:val="0"/>
          <w:sz w:val="21"/>
          <w:szCs w:val="21"/>
          <w:lang w:val="en-US" w:eastAsia="zh-CN"/>
        </w:rPr>
        <w:t>推荐数量</w:t>
      </w:r>
      <w:r>
        <w:rPr>
          <w:rFonts w:hint="eastAsia" w:ascii="宋体" w:hAnsi="宋体" w:cs="宋体"/>
          <w:snapToGrid w:val="0"/>
          <w:szCs w:val="21"/>
          <w:lang w:val="zh-CN" w:eastAsia="zh-CN"/>
        </w:rPr>
        <w:t>的供应商，特殊情况按本须知2</w:t>
      </w:r>
      <w:r>
        <w:rPr>
          <w:rFonts w:hint="eastAsia" w:ascii="宋体" w:hAnsi="宋体" w:cs="宋体"/>
          <w:snapToGrid w:val="0"/>
          <w:szCs w:val="21"/>
          <w:lang w:val="en-US" w:eastAsia="zh-CN"/>
        </w:rPr>
        <w:t>6</w:t>
      </w:r>
      <w:r>
        <w:rPr>
          <w:rFonts w:hint="eastAsia" w:ascii="宋体" w:hAnsi="宋体" w:cs="宋体"/>
          <w:snapToGrid w:val="0"/>
          <w:szCs w:val="21"/>
          <w:lang w:val="zh-CN" w:eastAsia="zh-CN"/>
        </w:rPr>
        <w:t>.2(条)的规定执行。</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szCs w:val="21"/>
          <w:lang w:val="zh-CN" w:eastAsia="zh-CN"/>
        </w:rPr>
      </w:pPr>
      <w:r>
        <w:rPr>
          <w:rFonts w:hint="eastAsia" w:ascii="宋体" w:hAnsi="宋体" w:cs="宋体"/>
          <w:snapToGrid w:val="0"/>
          <w:szCs w:val="21"/>
          <w:lang w:val="zh-CN" w:eastAsia="zh-CN"/>
        </w:rPr>
        <w:t>签订合同</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hint="eastAsia" w:ascii="宋体" w:hAnsi="宋体" w:cs="宋体"/>
          <w:snapToGrid w:val="0"/>
          <w:szCs w:val="21"/>
          <w:lang w:val="zh-CN" w:eastAsia="zh-CN"/>
        </w:rPr>
      </w:pPr>
      <w:r>
        <w:rPr>
          <w:rFonts w:hint="eastAsia" w:ascii="宋体" w:hAnsi="宋体" w:cs="宋体"/>
          <w:snapToGrid w:val="0"/>
          <w:szCs w:val="21"/>
          <w:lang w:val="en-US" w:eastAsia="zh-CN"/>
        </w:rPr>
        <w:t xml:space="preserve">27.2 </w:t>
      </w:r>
      <w:r>
        <w:rPr>
          <w:rFonts w:hint="eastAsia" w:ascii="宋体" w:hAnsi="宋体" w:cs="宋体"/>
          <w:snapToGrid w:val="0"/>
          <w:szCs w:val="21"/>
          <w:lang w:val="zh-CN" w:eastAsia="zh-CN"/>
        </w:rPr>
        <w:t>竞争性谈判采购文件对履约保证金有规定的，成交供应商应按规定在签订合同前缴纳履约保证金。有关履约保证金的规定谈判供应商须知前附表。</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hint="eastAsia" w:ascii="宋体" w:hAnsi="宋体" w:cs="宋体"/>
          <w:snapToGrid w:val="0"/>
          <w:szCs w:val="21"/>
          <w:lang w:val="zh-CN" w:eastAsia="zh-CN"/>
        </w:rPr>
      </w:pPr>
      <w:r>
        <w:rPr>
          <w:rFonts w:hint="eastAsia" w:ascii="宋体" w:hAnsi="宋体" w:cs="宋体"/>
          <w:snapToGrid w:val="0"/>
          <w:szCs w:val="21"/>
          <w:lang w:val="en-US" w:eastAsia="zh-CN"/>
        </w:rPr>
        <w:t xml:space="preserve">27.3 </w:t>
      </w:r>
      <w:r>
        <w:rPr>
          <w:rFonts w:hint="eastAsia" w:ascii="宋体" w:hAnsi="宋体" w:cs="宋体"/>
          <w:snapToGrid w:val="0"/>
          <w:szCs w:val="21"/>
          <w:lang w:val="zh-CN" w:eastAsia="zh-CN"/>
        </w:rPr>
        <w:t>采购代理机构将配合采购人与成交供应商签订政府采购合同。采购人与成交供应商应按竞争性谈判采购文件要求和成交供应商的竞争性谈判响应文件承诺订立书面合同，不得超出竞争性谈判采购文件和成交供应商竞争性谈判响应文件的范围，也不得再行订立背离合同实质性内容的其他协议。</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539" w:leftChars="0" w:hanging="539"/>
        <w:jc w:val="left"/>
        <w:textAlignment w:val="auto"/>
        <w:rPr>
          <w:rFonts w:hint="eastAsia" w:ascii="宋体" w:hAnsi="宋体" w:cs="宋体"/>
          <w:snapToGrid w:val="0"/>
          <w:szCs w:val="21"/>
          <w:lang w:val="zh-CN" w:eastAsia="zh-CN"/>
        </w:rPr>
      </w:pPr>
      <w:r>
        <w:rPr>
          <w:rFonts w:hint="eastAsia" w:ascii="宋体" w:hAnsi="宋体" w:cs="宋体"/>
          <w:snapToGrid w:val="0"/>
          <w:szCs w:val="21"/>
          <w:lang w:val="en-US" w:eastAsia="zh-CN"/>
        </w:rPr>
        <w:t xml:space="preserve">27.4 </w:t>
      </w:r>
      <w:r>
        <w:rPr>
          <w:rFonts w:hint="eastAsia" w:ascii="宋体" w:hAnsi="宋体" w:cs="宋体"/>
          <w:snapToGrid w:val="0"/>
          <w:szCs w:val="21"/>
          <w:lang w:val="zh-CN" w:eastAsia="zh-CN"/>
        </w:rPr>
        <w:t>成交供应商因不可抗力或者自身原因不能履行政府采购合同的，采购人可以与排位在成交供应商之后第一位的候选成交供应商签订政府采购合同，以此类推。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宋体" w:hAnsi="宋体" w:cs="宋体"/>
          <w:snapToGrid w:val="0"/>
          <w:szCs w:val="21"/>
          <w:lang w:val="en-US" w:eastAsia="zh-CN"/>
        </w:rPr>
        <w:t xml:space="preserve">27.5 </w:t>
      </w:r>
      <w:r>
        <w:rPr>
          <w:rFonts w:hint="eastAsia" w:ascii="宋体" w:hAnsi="宋体" w:cs="宋体"/>
          <w:snapToGrid w:val="0"/>
          <w:szCs w:val="21"/>
          <w:lang w:val="zh-CN" w:eastAsia="zh-CN"/>
        </w:rPr>
        <w:t>采购人应在《成交通知书》发出之日起30天内与成交供应商签订政府采购合同。</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0" w:name="_Toc25575"/>
      <w:bookmarkStart w:id="81" w:name="_Toc14510"/>
      <w:bookmarkStart w:id="82" w:name="_Toc4883"/>
      <w:bookmarkStart w:id="83" w:name="_Toc13988"/>
      <w:r>
        <w:rPr>
          <w:rFonts w:hint="eastAsia" w:asciiTheme="minorEastAsia" w:hAnsiTheme="minorEastAsia" w:eastAsiaTheme="minorEastAsia" w:cstheme="minorEastAsia"/>
          <w:b/>
          <w:szCs w:val="21"/>
          <w:lang w:val="zh-CN"/>
        </w:rPr>
        <w:t>质疑和投诉</w:t>
      </w:r>
      <w:bookmarkEnd w:id="80"/>
      <w:bookmarkEnd w:id="81"/>
      <w:bookmarkEnd w:id="82"/>
      <w:bookmarkEnd w:id="83"/>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4" w:name="_Toc19159"/>
      <w:r>
        <w:rPr>
          <w:rFonts w:hint="eastAsia" w:asciiTheme="minorEastAsia" w:hAnsiTheme="minorEastAsia" w:eastAsiaTheme="minorEastAsia" w:cstheme="minorEastAsia"/>
          <w:b/>
          <w:lang w:val="zh-CN"/>
        </w:rPr>
        <w:t>质疑</w:t>
      </w:r>
      <w:bookmarkEnd w:id="8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en-US" w:eastAsia="zh-CN"/>
        </w:rPr>
        <w:t>28</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谈判文件、谈判过程和成交结果使自己的权益受到损害的，可以在知道或者应知其权益受到损害之日起7个工作日内，以书面形式向采购人或采购代理机构提出质疑。我公司受理项目质疑部门为业务部,联系人：张明；联系电话：027-87820788。供应商在法定质疑期内应一次性提出针对同一采购程序环节的质疑。</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en-US" w:eastAsia="zh-CN"/>
        </w:rPr>
        <w:t>28</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5" w:name="_Toc18051"/>
      <w:r>
        <w:rPr>
          <w:rFonts w:hint="eastAsia" w:asciiTheme="minorEastAsia" w:hAnsiTheme="minorEastAsia" w:eastAsiaTheme="minorEastAsia" w:cstheme="minorEastAsia"/>
          <w:b/>
          <w:lang w:val="zh-CN"/>
        </w:rPr>
        <w:t>质疑回复</w:t>
      </w:r>
      <w:bookmarkEnd w:id="8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en-US" w:eastAsia="zh-CN"/>
        </w:rPr>
        <w:t>29</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en-US" w:eastAsia="zh-CN"/>
        </w:rPr>
        <w:t>29</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8"/>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6" w:name="_Toc32189"/>
      <w:r>
        <w:rPr>
          <w:rFonts w:hint="eastAsia" w:asciiTheme="minorEastAsia" w:hAnsiTheme="minorEastAsia" w:eastAsiaTheme="minorEastAsia" w:cstheme="minorEastAsia"/>
          <w:b/>
          <w:lang w:val="zh-CN"/>
        </w:rPr>
        <w:t>投诉</w:t>
      </w:r>
      <w:bookmarkEnd w:id="86"/>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en-US" w:eastAsia="zh-CN"/>
        </w:rPr>
        <w:t>30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en-US" w:eastAsia="zh-CN"/>
        </w:rPr>
        <w:t>30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7" w:name="_Toc26179"/>
      <w:r>
        <w:rPr>
          <w:rFonts w:hint="eastAsia" w:asciiTheme="minorEastAsia" w:hAnsiTheme="minorEastAsia" w:eastAsiaTheme="minorEastAsia" w:cstheme="minorEastAsia"/>
          <w:b/>
          <w:szCs w:val="21"/>
          <w:lang w:val="zh-CN"/>
        </w:rPr>
        <w:t>其他要求</w:t>
      </w:r>
      <w:bookmarkEnd w:id="87"/>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7"/>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8" w:name="_Toc6978"/>
      <w:r>
        <w:rPr>
          <w:rFonts w:hint="eastAsia" w:asciiTheme="minorEastAsia" w:hAnsiTheme="minorEastAsia" w:eastAsiaTheme="minorEastAsia" w:cstheme="minorEastAsia"/>
          <w:b/>
          <w:szCs w:val="21"/>
          <w:lang w:val="zh-CN"/>
        </w:rPr>
        <w:t>适用法律</w:t>
      </w:r>
      <w:bookmarkEnd w:id="88"/>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宋体" w:hAnsi="宋体" w:eastAsia="宋体" w:cs="宋体"/>
          <w:snapToGrid w:val="0"/>
          <w:kern w:val="0"/>
          <w:sz w:val="21"/>
          <w:szCs w:val="21"/>
          <w:lang w:val="zh-CN" w:eastAsia="zh-CN" w:bidi="ar-SA"/>
        </w:rPr>
      </w:pPr>
      <w:r>
        <w:rPr>
          <w:rFonts w:hint="eastAsia" w:ascii="宋体" w:hAnsi="宋体" w:eastAsia="宋体" w:cs="宋体"/>
          <w:snapToGrid w:val="0"/>
          <w:kern w:val="0"/>
          <w:sz w:val="21"/>
          <w:szCs w:val="21"/>
          <w:lang w:val="zh-CN" w:eastAsia="zh-CN" w:bidi="ar-SA"/>
        </w:rPr>
        <w:t>采购人或者采购代理机构和</w:t>
      </w:r>
      <w:r>
        <w:rPr>
          <w:rFonts w:hint="eastAsia" w:ascii="宋体" w:hAnsi="宋体" w:cs="宋体"/>
          <w:snapToGrid w:val="0"/>
          <w:kern w:val="0"/>
          <w:sz w:val="21"/>
          <w:szCs w:val="21"/>
          <w:lang w:val="zh-CN" w:eastAsia="zh-CN" w:bidi="ar-SA"/>
        </w:rPr>
        <w:t>供应商</w:t>
      </w:r>
      <w:r>
        <w:rPr>
          <w:rFonts w:hint="eastAsia" w:ascii="宋体" w:hAnsi="宋体" w:eastAsia="宋体" w:cs="宋体"/>
          <w:snapToGrid w:val="0"/>
          <w:kern w:val="0"/>
          <w:sz w:val="21"/>
          <w:szCs w:val="21"/>
          <w:lang w:val="zh-CN" w:eastAsia="zh-CN" w:bidi="ar-SA"/>
        </w:rPr>
        <w:t>的一切采购活动均适用于《湖北省某部招标管理办法》等相关规章制度的规定。采购人另有要求时，可参照执行《中华人民共和国政府采购法》、《中华人民共和国政府采购实施条例》、《政府采购货物和服务招标投标管理办法》等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left="536" w:leftChars="200" w:hanging="116" w:hangingChars="55"/>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2"/>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2"/>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2"/>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p>
    <w:p>
      <w:pPr>
        <w:keepNext w:val="0"/>
        <w:keepLines w:val="0"/>
        <w:pageBreakBefore w:val="0"/>
        <w:widowControl w:val="0"/>
        <w:numPr>
          <w:ilvl w:val="0"/>
          <w:numId w:val="32"/>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成立时间不足应提交财务报告年份要求的，按成立时间起算。</w:t>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89" w:name="_Toc9470"/>
      <w:r>
        <w:rPr>
          <w:rFonts w:hint="eastAsia" w:asciiTheme="minorEastAsia" w:hAnsiTheme="minorEastAsia" w:eastAsiaTheme="minorEastAsia" w:cstheme="minorEastAsia"/>
          <w:b/>
          <w:bCs/>
          <w:sz w:val="36"/>
          <w:szCs w:val="36"/>
        </w:rPr>
        <w:t>采购需求</w:t>
      </w:r>
      <w:bookmarkEnd w:id="89"/>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90" w:name="_Toc28752"/>
      <w:r>
        <w:rPr>
          <w:rFonts w:hint="eastAsia" w:ascii="宋体" w:hAnsi="宋体" w:eastAsia="宋体" w:cs="宋体"/>
          <w:b/>
          <w:bCs/>
          <w:color w:val="000000"/>
          <w:kern w:val="0"/>
          <w:sz w:val="21"/>
          <w:szCs w:val="21"/>
          <w:lang w:val="en-US" w:eastAsia="zh-CN" w:bidi="ar"/>
        </w:rPr>
        <w:t>一、技术需求</w:t>
      </w:r>
      <w:bookmarkEnd w:id="90"/>
    </w:p>
    <w:p>
      <w:pPr>
        <w:autoSpaceDE w:val="0"/>
        <w:autoSpaceDN w:val="0"/>
        <w:adjustRightInd w:val="0"/>
        <w:spacing w:line="360" w:lineRule="auto"/>
        <w:outlineLvl w:val="9"/>
        <w:rPr>
          <w:rFonts w:hint="eastAsia" w:ascii="宋体" w:hAnsi="宋体" w:eastAsia="宋体" w:cs="宋体"/>
          <w:b w:val="0"/>
          <w:bCs w:val="0"/>
          <w:color w:val="auto"/>
          <w:sz w:val="21"/>
          <w:szCs w:val="21"/>
          <w:lang w:val="en-US" w:eastAsia="zh-CN"/>
        </w:rPr>
      </w:pPr>
      <w:bookmarkStart w:id="91" w:name="_Toc27833"/>
      <w:r>
        <w:rPr>
          <w:rFonts w:hint="eastAsia" w:ascii="宋体" w:hAnsi="宋体" w:eastAsia="宋体" w:cs="宋体"/>
          <w:b w:val="0"/>
          <w:bCs w:val="0"/>
          <w:color w:val="auto"/>
          <w:sz w:val="21"/>
          <w:szCs w:val="21"/>
          <w:lang w:val="en-US" w:eastAsia="zh-CN"/>
        </w:rPr>
        <w:t>1.项目概况：住房办证房屋安全鉴定。涉及住房规模约51251.19平方米，其中住房343套46119.85平方米，配套用房1770.12平方米，地下室3361.22平方米。</w:t>
      </w:r>
    </w:p>
    <w:p>
      <w:pPr>
        <w:keepNext w:val="0"/>
        <w:keepLines w:val="0"/>
        <w:widowControl/>
        <w:suppressLineNumbers w:val="0"/>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2.服务内容和要求：</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二、主要服务内容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1、房屋检测及安全鉴定技术服务的要求：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（1）房屋平面图绘制，确定房间使用功能，调查使用荷载。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（2）房屋受力构件截面测量以及主要受力构件材料强度检测；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（3）房屋使用情况调查以及房屋周边环境调查；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（4）房屋主要受力构件变形抽样检测，包括水平构件和竖向构件；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（5）房屋整体倾斜测量；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（6）房屋连接与构造调查；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（7）房屋损伤情况调查，包括外观质量、缺陷以及裂缝情况等；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（8）房屋结构安全性鉴定：根据现场检测结果，结合必要的验算分析，对房屋结构安全性进行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鉴定评级，并提出维修、整改以及使用建议。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2、具体要求：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（1）对建筑、构筑物的损坏部位进行影像记录；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（2）对建筑、构筑物安全状况进行定性，并出具突发情况应急鉴定表；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（3）对出现安全隐患部位成因进行分析提出加固治理方案；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（4）将资料整理成册、汇交。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三、项目技术服务依据及要求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1、检测鉴定依据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1.1、《建筑结构检测技术标准》(GB/T50344-2019)；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1.2、《建筑结构荷载规范》(GB 50009-2012)；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1.3、《混凝土结构现场检测技术标准》(GB50784-2013)；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1.4、《混凝土结构工程施工质量验收规范》(GB50204-2015)；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1.5、《砌体结构工程施工质量验收规范》(GB50203-2011)；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1.6、《砌体工程现场检测技术标准》(GB/T50315-2011)；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1.7、《建筑变形测量规范》(JGJ8-2016) B/T 50315；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1.8、《武汉市房屋安全鉴定技术规程》（DB4201/T 537-2018）；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1.9、《危险房屋鉴定标准》（JGJ125-2016）；1.10、《房屋完损等级评定标准》（建设部城住字[84]第 678 号）；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1.11、工程结构图纸资料及其他必要的标准、规范、图集、计算软件等。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2、检测、鉴定的内容和方法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2.1、基本原则：以无损检测为主，非损伤或微损伤为辅。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2.2、结构体系检测：查看结构体系的整体性及结构受力形式；复核现场是否与图纸一致；测量轴线尺寸、层高；查看预制板铺设方向。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2.3、外观检测：检查结构整体、单个构件及围护结构的损伤情况。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2.4、截面尺寸检测：量测主要墙体、梁、柱及板构件的截面尺寸。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2.5、砌体材料检测：检测砌体及砂浆强度；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2.6、混凝土强度检测：采用回弹检测梁、柱的混凝土强度。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2.7、钢筋检测：用钢筋位置探测仪检测梁、柱、板构件的钢筋数量、布置，直径采用开凿确定。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2.8、损伤检测：包括主体结构与围护结构的裂缝、钢筋锈蚀、渗漏等损伤情况，分析损伤成因，并评估损伤对结构的影响。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2.9、建筑物倾斜测量：采用高精度全站仪进行定向测量的方法对该建筑物四个阳角部位进行测量，然后进行矢量相加的计算方法得出建筑物目前的倾斜量。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2.10、荷载调查：功能分区确定；隔墙厚度、材料调查；屋面做法调查；外墙做法调查等。以上检测均由现场详实数据记录并予以必要的影像记录。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四、工作成果要求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根据现场资料调查结果，同时结合现场查勘情况及各项现场检测数据结果，依据各项检测标准、规范等，对房屋质量进行安全评价，并出具《房屋安全鉴定书》。并上传至武汉市房管局相关监督系统备案。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五、服务要求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1、本项目要求至少派 1人在业主方指定的区域开展该技术服务工作，并且要求自备电脑及交通工具等工作必要的设备。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2、要求供应商接到任务通知后，需在 24 小时内到达指定场所作业；在任务紧急的情况下，7×24 小时内能够及时调配技术力量，并在指定时间能完成相关工作。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①、发生突发事件时，现场项目负责人要迅速查明事件原因、迅速应急处理，并须在 24 小时内到达现场提供服务（包括非工作时间）。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疫情工作期间，现场人员在工作中发生不适，测量体温为异常的，应立刻向招标人报告，及时劝返，并同时报备。项目组需安排专人跟踪问询其情况，同时对所在工作场合进行全面消毒，掌握密切接触人员情况。（包括非工作时间）。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、本项目技术服务标准按照《危险房屋鉴定标准》、《房屋完损等级评定标准》、《武汉市房屋安全鉴定技术规程》以及国家、省、市规定要求标准等相关标准执行。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六、付款方式 </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供应商需根据上述服务类目进行</w:t>
      </w:r>
      <w:r>
        <w:rPr>
          <w:rFonts w:hint="eastAsia" w:ascii="宋体" w:hAnsi="宋体" w:cs="宋体"/>
          <w:color w:val="000000"/>
          <w:kern w:val="0"/>
          <w:sz w:val="21"/>
          <w:szCs w:val="21"/>
          <w:lang w:val="en-US" w:eastAsia="zh-CN" w:bidi="ar"/>
        </w:rPr>
        <w:t>综合单价</w:t>
      </w:r>
      <w:r>
        <w:rPr>
          <w:rFonts w:hint="eastAsia" w:ascii="宋体" w:hAnsi="宋体" w:eastAsia="宋体" w:cs="宋体"/>
          <w:color w:val="000000"/>
          <w:kern w:val="0"/>
          <w:sz w:val="21"/>
          <w:szCs w:val="21"/>
          <w:lang w:val="en-US" w:eastAsia="zh-CN" w:bidi="ar"/>
        </w:rPr>
        <w:t xml:space="preserve">报价，不得超过采购预算金额。双方进行项目结算时，以实际发生的工作量为准，据实进行结算。 </w:t>
      </w:r>
    </w:p>
    <w:p>
      <w:pPr>
        <w:keepNext w:val="0"/>
        <w:keepLines w:val="0"/>
        <w:widowControl/>
        <w:suppressLineNumbers w:val="0"/>
        <w:spacing w:line="360" w:lineRule="auto"/>
        <w:ind w:firstLine="420" w:firstLineChars="200"/>
        <w:jc w:val="left"/>
        <w:rPr>
          <w:rFonts w:hint="eastAsia"/>
        </w:rPr>
      </w:pPr>
      <w:r>
        <w:rPr>
          <w:rFonts w:hint="eastAsia" w:ascii="宋体" w:hAnsi="宋体" w:eastAsia="宋体" w:cs="宋体"/>
          <w:color w:val="000000"/>
          <w:kern w:val="0"/>
          <w:sz w:val="21"/>
          <w:szCs w:val="21"/>
          <w:lang w:val="en-US" w:eastAsia="zh-CN" w:bidi="ar"/>
        </w:rPr>
        <w:t>供应商完成全部鉴定工作，出具《房屋安全鉴定书》，上传至武汉市房管局相关监督系统备案，并审核通过后，采购人一次性付清全部费用</w:t>
      </w:r>
      <w:r>
        <w:rPr>
          <w:rFonts w:hint="eastAsia" w:ascii="宋体" w:hAnsi="宋体" w:cs="宋体"/>
          <w:color w:val="000000"/>
          <w:kern w:val="0"/>
          <w:sz w:val="21"/>
          <w:szCs w:val="21"/>
          <w:lang w:val="en-US" w:eastAsia="zh-CN" w:bidi="ar"/>
        </w:rPr>
        <w:t>（综合单价*住房面积）</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但结算金额</w:t>
      </w:r>
      <w:r>
        <w:rPr>
          <w:rFonts w:hint="eastAsia" w:ascii="宋体" w:hAnsi="宋体" w:eastAsia="宋体" w:cs="宋体"/>
          <w:color w:val="000000"/>
          <w:kern w:val="0"/>
          <w:sz w:val="21"/>
          <w:szCs w:val="21"/>
          <w:lang w:val="en-US" w:eastAsia="zh-CN" w:bidi="ar"/>
        </w:rPr>
        <w:t>不得超过采购预算金额</w:t>
      </w:r>
      <w:r>
        <w:rPr>
          <w:rFonts w:hint="eastAsia" w:ascii="宋体" w:hAnsi="宋体" w:cs="宋体"/>
          <w:color w:val="000000"/>
          <w:kern w:val="0"/>
          <w:sz w:val="21"/>
          <w:szCs w:val="21"/>
          <w:lang w:val="en-US" w:eastAsia="zh-CN" w:bidi="ar"/>
        </w:rPr>
        <w:t>。</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七、验收要求：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鉴定报告符合国家和省、市或行业的现行技术标准，并上传至武汉市房管局相关监督系统备案。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八、其他要求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1、供应商中标后，应按采购响应文件中承诺的拟派人员名单开展工作，在特殊情况下成交供应商可以用同等资历的人员代替，但应事先得到采购人的批准；采购人有权要求成交供应商更换不合格的技术人员。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如采购人认为成交供应商投入的工作人员数量、业务水平、专业配置等不能满足本项目实际工作需要时，有权要求成交供应商及时调配或增加符合资格要求的人员，所增加人员的工资、奖金、补贴、加班费、办公费、差旅费、管理费等所有费用已包括在投标报价中。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3、工作中各项资料要准确、完整，作好档案管理工作，方便采购人及相关部门使用。在未得到许可的情况下，不得向任何第三方泄漏有关项目的技术资料和其他信息。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4、保证在规定时间内完成服务工作，保证成果质量，能通过主管部门的审批。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5、成交供应商不得将采购文件内规定的服务工作进行分包和转包，否则采购人有权取消其成交资格。 </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 w:val="24"/>
          <w:szCs w:val="24"/>
          <w:lang w:val="en-US" w:eastAsia="zh-CN"/>
        </w:rPr>
      </w:pPr>
    </w:p>
    <w:bookmarkEnd w:id="91"/>
    <w:p>
      <w:pPr>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（1）资格审查因素等证明材料须提供网上图片或查询方式以供谈判小组核查，响应文件内附相关证书真彩扫描件。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谈判小组认为有可能影响项目实施及服务质量或者不能诚信履约的，可启用澄清程序，有权要求供应商在合理的时间内出具最后报价的合理分析，供应商不能合理说明或者不能提供相关证明材料的，谈判小组可认定该供应商以低于成本报价竞标，有权将其报价作无效处理。</w:t>
      </w:r>
    </w:p>
    <w:p>
      <w:pPr>
        <w:rPr>
          <w:rFonts w:hint="eastAsia" w:asciiTheme="minorEastAsia" w:hAnsiTheme="minorEastAsia" w:eastAsiaTheme="minorEastAsia" w:cstheme="minorEastAsia"/>
          <w:szCs w:val="21"/>
        </w:rPr>
      </w:pPr>
      <w:bookmarkStart w:id="92" w:name="_Toc21647"/>
      <w:r>
        <w:rPr>
          <w:rFonts w:hint="eastAsia" w:asciiTheme="minorEastAsia" w:hAnsiTheme="minorEastAsia" w:eastAsiaTheme="minorEastAsia" w:cstheme="minorEastAsia"/>
          <w:sz w:val="36"/>
          <w:szCs w:val="36"/>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lang w:val="en-US" w:eastAsia="zh-CN"/>
        </w:rPr>
        <w:t>竞争性谈判采购</w:t>
      </w:r>
      <w:r>
        <w:rPr>
          <w:rFonts w:hint="eastAsia" w:asciiTheme="minorEastAsia" w:hAnsiTheme="minorEastAsia" w:eastAsiaTheme="minorEastAsia" w:cstheme="minorEastAsia"/>
          <w:sz w:val="36"/>
          <w:szCs w:val="36"/>
        </w:rPr>
        <w:t>评定办法</w:t>
      </w:r>
      <w:bookmarkEnd w:id="92"/>
    </w:p>
    <w:p>
      <w:pPr>
        <w:spacing w:line="360" w:lineRule="auto"/>
        <w:outlineLvl w:val="1"/>
        <w:rPr>
          <w:rFonts w:hint="eastAsia" w:asciiTheme="minorEastAsia" w:hAnsiTheme="minorEastAsia" w:eastAsiaTheme="minorEastAsia" w:cstheme="minorEastAsia"/>
          <w:b/>
          <w:szCs w:val="21"/>
        </w:rPr>
      </w:pPr>
      <w:bookmarkStart w:id="93" w:name="_Toc23888"/>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93"/>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2257"/>
        <w:gridCol w:w="5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blHeader/>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2257"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5574"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34"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2257"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szCs w:val="21"/>
              </w:rPr>
              <w:t>满足《中华人民共和国政府采购法》第二十二条规定</w:t>
            </w:r>
          </w:p>
        </w:tc>
        <w:tc>
          <w:tcPr>
            <w:tcW w:w="5574" w:type="dxa"/>
            <w:vAlign w:val="center"/>
          </w:tcPr>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具有独立承担民事责任的能力；</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具有良好的商业信誉和健全的财务会计制度；</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具有履行合同所必需的设备和专业技术能力；</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有依法缴纳税收和社会保障资金的良好记录；</w:t>
            </w:r>
          </w:p>
          <w:p>
            <w:pPr>
              <w:spacing w:line="360" w:lineRule="auto"/>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w:t>
            </w:r>
          </w:p>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continue"/>
            <w:vAlign w:val="center"/>
          </w:tcPr>
          <w:p>
            <w:pPr>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2257" w:type="dxa"/>
            <w:vMerge w:val="restart"/>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禁止性情形</w:t>
            </w:r>
          </w:p>
        </w:tc>
        <w:tc>
          <w:tcPr>
            <w:tcW w:w="5574" w:type="dxa"/>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 w:val="21"/>
                <w:szCs w:val="21"/>
              </w:rPr>
              <w:t>单位负责人为同一人或者存在直接控股、管理关系的不同</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，不得参加本项目同一合同项下的政府采购活动。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按在采购代理机构获取文件的顺次序选择供应商参加本项目</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continue"/>
            <w:vAlign w:val="center"/>
          </w:tcPr>
          <w:p>
            <w:pPr>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2257" w:type="dxa"/>
            <w:vMerge w:val="continue"/>
            <w:vAlign w:val="center"/>
          </w:tcPr>
          <w:p>
            <w:pPr>
              <w:widowControl/>
              <w:spacing w:line="280" w:lineRule="exact"/>
              <w:jc w:val="center"/>
              <w:rPr>
                <w:rFonts w:hint="eastAsia" w:asciiTheme="minorEastAsia" w:hAnsiTheme="minorEastAsia" w:eastAsiaTheme="minorEastAsia" w:cstheme="minorEastAsia"/>
                <w:color w:val="auto"/>
                <w:kern w:val="0"/>
                <w:szCs w:val="21"/>
              </w:rPr>
            </w:pPr>
          </w:p>
        </w:tc>
        <w:tc>
          <w:tcPr>
            <w:tcW w:w="5574" w:type="dxa"/>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 w:val="21"/>
                <w:szCs w:val="21"/>
              </w:rPr>
              <w:t>为本采购项目提供整体设计、规范编制或者项目管理、监理、检测等服务的，不得再参加本项目的其他招标采购活动。</w:t>
            </w:r>
            <w:r>
              <w:rPr>
                <w:rFonts w:hint="eastAsia" w:asciiTheme="minorEastAsia" w:hAnsiTheme="minorEastAsia" w:eastAsiaTheme="minorEastAsia" w:cstheme="minorEastAsia"/>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continue"/>
            <w:vAlign w:val="center"/>
          </w:tcPr>
          <w:p>
            <w:pPr>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2257" w:type="dxa"/>
            <w:vMerge w:val="continue"/>
            <w:vAlign w:val="center"/>
          </w:tcPr>
          <w:p>
            <w:pPr>
              <w:widowControl/>
              <w:spacing w:line="280" w:lineRule="exact"/>
              <w:jc w:val="center"/>
              <w:rPr>
                <w:rFonts w:hint="eastAsia" w:asciiTheme="minorEastAsia" w:hAnsiTheme="minorEastAsia" w:eastAsiaTheme="minorEastAsia" w:cstheme="minorEastAsia"/>
                <w:color w:val="auto"/>
                <w:kern w:val="0"/>
                <w:szCs w:val="21"/>
              </w:rPr>
            </w:pPr>
          </w:p>
        </w:tc>
        <w:tc>
          <w:tcPr>
            <w:tcW w:w="5574" w:type="dxa"/>
            <w:vAlign w:val="center"/>
          </w:tcPr>
          <w:p>
            <w:pPr>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未被列入失信被执行人、重大税收违法案件当事人名单（</w:t>
            </w:r>
            <w:r>
              <w:rPr>
                <w:rFonts w:hint="eastAsia" w:asciiTheme="minorEastAsia" w:hAnsiTheme="minorEastAsia" w:eastAsiaTheme="minorEastAsia" w:cstheme="minorEastAsia"/>
                <w:color w:val="auto"/>
                <w:szCs w:val="21"/>
                <w:lang w:val="en-US" w:eastAsia="zh-CN"/>
              </w:rPr>
              <w:t>链接：https://www.creditchina.gov.cn/</w:t>
            </w:r>
            <w:r>
              <w:rPr>
                <w:rFonts w:hint="eastAsia" w:asciiTheme="minorEastAsia" w:hAnsiTheme="minorEastAsia" w:eastAsiaTheme="minorEastAsia" w:cstheme="minorEastAsia"/>
                <w:b w:val="0"/>
                <w:bCs w:val="0"/>
                <w:color w:val="auto"/>
                <w:szCs w:val="21"/>
                <w:lang w:val="en-US" w:eastAsia="zh-CN"/>
              </w:rPr>
              <w:t>），未被列入政府采购严重违法失信行为记录名单（</w:t>
            </w:r>
            <w:r>
              <w:rPr>
                <w:rFonts w:hint="eastAsia" w:asciiTheme="minorEastAsia" w:hAnsiTheme="minorEastAsia" w:eastAsiaTheme="minorEastAsia" w:cstheme="minorEastAsia"/>
                <w:color w:val="auto"/>
                <w:szCs w:val="21"/>
                <w:lang w:val="en-US" w:eastAsia="zh-CN"/>
              </w:rPr>
              <w:t>链接：http://www.ccgp.gov.cn/search/cr/</w:t>
            </w:r>
            <w:r>
              <w:rPr>
                <w:rFonts w:hint="eastAsia" w:asciiTheme="minorEastAsia" w:hAnsiTheme="minorEastAsia" w:eastAsiaTheme="minorEastAsia" w:cstheme="minorEastAsia"/>
                <w:b w:val="0"/>
                <w:bCs w:val="0"/>
                <w:color w:val="auto"/>
                <w:szCs w:val="21"/>
                <w:lang w:val="en-US" w:eastAsia="zh-CN"/>
              </w:rPr>
              <w:t>）。</w:t>
            </w:r>
          </w:p>
          <w:p>
            <w:pPr>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en-US" w:eastAsia="zh-CN"/>
              </w:rPr>
              <w:t>以递交响应文件截止之日，采购代理机构现场网络查询并打印存档。</w:t>
            </w:r>
            <w:r>
              <w:rPr>
                <w:rFonts w:hint="eastAsia" w:asciiTheme="minorEastAsia" w:hAnsiTheme="minorEastAsia" w:eastAsiaTheme="minorEastAsia" w:cstheme="minorEastAsia"/>
                <w:b w:val="0"/>
                <w:bCs w:val="0"/>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2257"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 w:val="21"/>
                <w:szCs w:val="21"/>
              </w:rPr>
              <w:t>落实政府采购政策需满足的资格要求</w:t>
            </w:r>
          </w:p>
        </w:tc>
        <w:tc>
          <w:tcPr>
            <w:tcW w:w="5574"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2257" w:type="dxa"/>
            <w:vAlign w:val="center"/>
          </w:tcPr>
          <w:p>
            <w:pPr>
              <w:widowControl/>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color w:val="000000"/>
                <w:sz w:val="21"/>
                <w:szCs w:val="21"/>
              </w:rPr>
              <w:t>特定资格要求</w:t>
            </w:r>
          </w:p>
        </w:tc>
        <w:tc>
          <w:tcPr>
            <w:tcW w:w="5574" w:type="dxa"/>
            <w:vAlign w:val="center"/>
          </w:tcPr>
          <w:p>
            <w:pPr>
              <w:widowControl/>
              <w:jc w:val="left"/>
              <w:rPr>
                <w:rFonts w:hint="eastAsia"/>
                <w:lang w:val="zh-CN"/>
              </w:rPr>
            </w:pPr>
            <w:r>
              <w:rPr>
                <w:rFonts w:hint="eastAsia" w:asciiTheme="minorEastAsia" w:hAnsiTheme="minorEastAsia" w:eastAsiaTheme="minorEastAsia" w:cstheme="minorEastAsia"/>
                <w:kern w:val="0"/>
                <w:szCs w:val="21"/>
              </w:rPr>
              <w:t>符合本采购文件第一章第二</w:t>
            </w:r>
            <w:r>
              <w:rPr>
                <w:rFonts w:hint="eastAsia" w:asciiTheme="minorEastAsia" w:hAnsiTheme="minorEastAsia" w:eastAsiaTheme="minorEastAsia" w:cstheme="minorEastAsia"/>
                <w:color w:val="auto"/>
                <w:kern w:val="0"/>
                <w:szCs w:val="21"/>
              </w:rPr>
              <w:t>款</w:t>
            </w:r>
            <w:r>
              <w:rPr>
                <w:rFonts w:hint="eastAsia" w:asciiTheme="minorEastAsia" w:hAnsiTheme="minorEastAsia" w:eastAsiaTheme="minorEastAsia" w:cstheme="minorEastAsia"/>
                <w:color w:val="auto"/>
                <w:kern w:val="0"/>
                <w:szCs w:val="21"/>
                <w:lang w:eastAsia="zh-CN"/>
              </w:rPr>
              <w:t>第</w:t>
            </w:r>
            <w:ins w:id="0" w:author="Administrator" w:date="2023-01-05T09:45:54Z">
              <w:r>
                <w:rPr>
                  <w:rFonts w:hint="eastAsia" w:asciiTheme="minorEastAsia" w:hAnsiTheme="minorEastAsia" w:eastAsiaTheme="minorEastAsia" w:cstheme="minorEastAsia"/>
                  <w:color w:val="auto"/>
                  <w:kern w:val="0"/>
                  <w:szCs w:val="21"/>
                  <w:lang w:eastAsia="zh-CN"/>
                </w:rPr>
                <w:t>五</w:t>
              </w:r>
            </w:ins>
            <w:r>
              <w:rPr>
                <w:rFonts w:hint="eastAsia" w:asciiTheme="minorEastAsia" w:hAnsiTheme="minorEastAsia" w:eastAsiaTheme="minorEastAsia" w:cstheme="minorEastAsia"/>
                <w:color w:val="auto"/>
                <w:kern w:val="0"/>
                <w:szCs w:val="21"/>
                <w:lang w:val="en-US" w:eastAsia="zh-CN"/>
              </w:rPr>
              <w:t>条</w:t>
            </w:r>
            <w:r>
              <w:rPr>
                <w:rFonts w:hint="eastAsia" w:asciiTheme="minorEastAsia" w:hAnsiTheme="minorEastAsia" w:eastAsiaTheme="minorEastAsia" w:cstheme="minorEastAsia"/>
                <w:color w:val="auto"/>
                <w:kern w:val="0"/>
                <w:szCs w:val="21"/>
              </w:rPr>
              <w:t>要求</w:t>
            </w:r>
            <w:r>
              <w:rPr>
                <w:rFonts w:hint="eastAsia" w:asciiTheme="minorEastAsia" w:hAnsiTheme="minorEastAsia" w:eastAsiaTheme="minorEastAsia" w:cstheme="minorEastAsia"/>
                <w:kern w:val="0"/>
                <w:szCs w:val="21"/>
              </w:rPr>
              <w:t>，并提供合格有效的证明材料</w:t>
            </w:r>
            <w:r>
              <w:rPr>
                <w:rFonts w:hint="eastAsia" w:asciiTheme="minorEastAsia" w:hAnsiTheme="minorEastAsia" w:eastAsiaTheme="minorEastAsia" w:cstheme="minorEastAsia"/>
                <w:color w:val="FF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2257"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5574"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供应商是否按照谈判文件提交投标保证金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lang w:val="en-US" w:eastAsia="zh-CN"/>
              </w:rPr>
              <w:t>谈判</w:t>
            </w:r>
            <w:r>
              <w:rPr>
                <w:rFonts w:hint="eastAsia" w:asciiTheme="minorEastAsia" w:hAnsiTheme="minorEastAsia" w:eastAsiaTheme="minorEastAsia" w:cstheme="minorEastAsia"/>
                <w:color w:val="auto"/>
                <w:kern w:val="0"/>
                <w:szCs w:val="21"/>
              </w:rPr>
              <w:t>报价</w:t>
            </w:r>
          </w:p>
        </w:tc>
        <w:tc>
          <w:tcPr>
            <w:tcW w:w="5574"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lang w:val="en-US" w:eastAsia="zh-CN"/>
              </w:rPr>
              <w:t>谈判</w:t>
            </w:r>
            <w:r>
              <w:rPr>
                <w:rFonts w:hint="eastAsia" w:asciiTheme="minorEastAsia" w:hAnsiTheme="minorEastAsia" w:eastAsiaTheme="minorEastAsia" w:cstheme="minorEastAsia"/>
                <w:color w:val="auto"/>
                <w:kern w:val="0"/>
                <w:szCs w:val="21"/>
              </w:rPr>
              <w:t>报价</w:t>
            </w:r>
            <w:r>
              <w:rPr>
                <w:rFonts w:hint="eastAsia" w:asciiTheme="minorEastAsia" w:hAnsiTheme="minorEastAsia" w:eastAsiaTheme="minorEastAsia" w:cstheme="minorEastAsia"/>
                <w:color w:val="auto"/>
                <w:kern w:val="0"/>
                <w:szCs w:val="21"/>
                <w:lang w:val="en-US" w:eastAsia="zh-CN"/>
              </w:rPr>
              <w:t>是否符合谈判文件要求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书签字盖章</w:t>
            </w:r>
          </w:p>
        </w:tc>
        <w:tc>
          <w:tcPr>
            <w:tcW w:w="5574"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有效期</w:t>
            </w:r>
          </w:p>
        </w:tc>
        <w:tc>
          <w:tcPr>
            <w:tcW w:w="5574"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谈判</w:t>
            </w:r>
            <w:r>
              <w:rPr>
                <w:rFonts w:hint="eastAsia" w:asciiTheme="minorEastAsia" w:hAnsiTheme="minorEastAsia" w:eastAsiaTheme="minorEastAsia" w:cstheme="minorEastAsia"/>
                <w:kern w:val="0"/>
                <w:szCs w:val="21"/>
              </w:rPr>
              <w:t>有效期是否满足竞争性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5574"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带“★”号条款</w:t>
            </w:r>
            <w:r>
              <w:rPr>
                <w:rFonts w:hint="eastAsia" w:ascii="宋体" w:hAnsi="宋体" w:cs="宋体"/>
                <w:color w:val="auto"/>
                <w:kern w:val="0"/>
                <w:szCs w:val="21"/>
                <w:shd w:val="clear" w:color="auto" w:fill="FFFFFF"/>
                <w:lang w:val="en-US" w:eastAsia="zh-CN"/>
              </w:rPr>
              <w:t>（如有）</w:t>
            </w:r>
            <w:r>
              <w:rPr>
                <w:rFonts w:hint="eastAsia" w:asciiTheme="minorEastAsia" w:hAnsiTheme="minorEastAsia" w:eastAsiaTheme="minorEastAsia" w:cstheme="minorEastAsia"/>
                <w:kern w:val="0"/>
                <w:szCs w:val="21"/>
              </w:rPr>
              <w:t>是否实质性响应</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Merge w:val="continue"/>
            <w:vAlign w:val="center"/>
          </w:tcPr>
          <w:p>
            <w:pPr>
              <w:widowControl/>
              <w:jc w:val="center"/>
              <w:rPr>
                <w:rFonts w:hint="eastAsia" w:asciiTheme="minorEastAsia" w:hAnsiTheme="minorEastAsia" w:eastAsiaTheme="minorEastAsia" w:cstheme="minorEastAsia"/>
                <w:kern w:val="0"/>
                <w:szCs w:val="21"/>
              </w:rPr>
            </w:pPr>
          </w:p>
        </w:tc>
        <w:tc>
          <w:tcPr>
            <w:tcW w:w="5574"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5574"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5574"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谈判</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2257" w:type="dxa"/>
            <w:vAlign w:val="center"/>
          </w:tcPr>
          <w:p>
            <w:pPr>
              <w:widowControl/>
              <w:spacing w:line="360" w:lineRule="auto"/>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其他要求（三）（如有）</w:t>
            </w:r>
          </w:p>
        </w:tc>
        <w:tc>
          <w:tcPr>
            <w:tcW w:w="5574" w:type="dxa"/>
            <w:vAlign w:val="center"/>
          </w:tcPr>
          <w:p>
            <w:pPr>
              <w:widowControl/>
              <w:spacing w:line="360" w:lineRule="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澄清、说明或者补正等材料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2</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供应商进行最后报价</w:t>
            </w:r>
          </w:p>
        </w:tc>
        <w:tc>
          <w:tcPr>
            <w:tcW w:w="2257"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文件能完整、明确列明采购需求，无需要供应商提供最终设计方案或者解决方案的</w:t>
            </w:r>
          </w:p>
        </w:tc>
        <w:tc>
          <w:tcPr>
            <w:tcW w:w="5574"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结束后，</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2257"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文件不能完整、明确列明采购需求，需要由供应商提供最终设计方案或者解决方案的</w:t>
            </w:r>
          </w:p>
        </w:tc>
        <w:tc>
          <w:tcPr>
            <w:tcW w:w="5574"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结束后，</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lang w:val="en-US" w:eastAsia="zh-CN"/>
              </w:rPr>
              <w:t>3</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2257" w:type="dxa"/>
            <w:vAlign w:val="center"/>
          </w:tcPr>
          <w:p>
            <w:pPr>
              <w:jc w:val="center"/>
              <w:rPr>
                <w:rFonts w:hint="eastAsia" w:asciiTheme="minorEastAsia" w:hAnsiTheme="minorEastAsia" w:eastAsiaTheme="minorEastAsia" w:cstheme="minorEastAsia"/>
                <w:kern w:val="0"/>
                <w:szCs w:val="21"/>
              </w:rPr>
            </w:pPr>
            <w:r>
              <w:rPr>
                <w:rFonts w:hint="eastAsia" w:ascii="宋体" w:hAnsi="宋体" w:cs="宋体"/>
                <w:bCs/>
                <w:szCs w:val="21"/>
              </w:rPr>
              <w:t>最低价法</w:t>
            </w:r>
          </w:p>
        </w:tc>
        <w:tc>
          <w:tcPr>
            <w:tcW w:w="5574" w:type="dxa"/>
            <w:vAlign w:val="center"/>
          </w:tcPr>
          <w:p>
            <w:pPr>
              <w:rPr>
                <w:rFonts w:hint="eastAsia" w:asciiTheme="minorEastAsia" w:hAnsiTheme="minorEastAsia" w:eastAsiaTheme="minorEastAsia" w:cstheme="minorEastAsia"/>
                <w:szCs w:val="21"/>
              </w:rPr>
            </w:pPr>
            <w:r>
              <w:rPr>
                <w:rFonts w:ascii="宋体" w:hAnsi="宋体"/>
                <w:szCs w:val="21"/>
                <w:lang w:eastAsia="zh-CN"/>
              </w:rPr>
              <w:t>谈判小组应当从质量和服务均能满足采购文件实质性响应要求的供应商中，按照最后报价由低到高的顺序提出</w:t>
            </w:r>
            <w:r>
              <w:rPr>
                <w:rFonts w:hint="eastAsia" w:ascii="宋体" w:hAnsi="宋体" w:eastAsia="宋体"/>
                <w:szCs w:val="21"/>
                <w:lang w:eastAsia="zh-CN"/>
              </w:rPr>
              <w:t>前</w:t>
            </w:r>
            <w:r>
              <w:rPr>
                <w:rFonts w:ascii="宋体" w:hAnsi="宋体"/>
                <w:szCs w:val="21"/>
                <w:lang w:eastAsia="zh-CN"/>
              </w:rPr>
              <w:t>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4</w:t>
            </w:r>
          </w:p>
        </w:tc>
        <w:tc>
          <w:tcPr>
            <w:tcW w:w="851" w:type="dxa"/>
            <w:vAlign w:val="center"/>
          </w:tcPr>
          <w:p>
            <w:pPr>
              <w:widowControl/>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lang w:val="en-US" w:eastAsia="zh-CN"/>
              </w:rPr>
              <w:t>核心产品</w:t>
            </w:r>
            <w:r>
              <w:rPr>
                <w:rFonts w:hint="eastAsia" w:asciiTheme="minorEastAsia" w:hAnsiTheme="minorEastAsia" w:eastAsiaTheme="minorEastAsia" w:cstheme="minorEastAsia"/>
                <w:bCs/>
                <w:color w:val="auto"/>
                <w:kern w:val="0"/>
                <w:szCs w:val="21"/>
                <w:highlight w:val="none"/>
              </w:rPr>
              <w:t>相同品牌</w:t>
            </w:r>
          </w:p>
        </w:tc>
        <w:tc>
          <w:tcPr>
            <w:tcW w:w="2257" w:type="dxa"/>
            <w:vAlign w:val="center"/>
          </w:tcPr>
          <w:p>
            <w:pPr>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lang w:val="en-US" w:eastAsia="zh-CN"/>
              </w:rPr>
              <w:t>核心产品</w:t>
            </w:r>
            <w:r>
              <w:rPr>
                <w:rFonts w:hint="eastAsia" w:asciiTheme="minorEastAsia" w:hAnsiTheme="minorEastAsia" w:eastAsiaTheme="minorEastAsia" w:cstheme="minorEastAsia"/>
                <w:bCs/>
                <w:color w:val="auto"/>
                <w:kern w:val="0"/>
                <w:szCs w:val="21"/>
                <w:highlight w:val="none"/>
              </w:rPr>
              <w:t>相同品牌处理原则</w:t>
            </w:r>
            <w:r>
              <w:rPr>
                <w:rFonts w:hint="eastAsia" w:asciiTheme="minorEastAsia" w:hAnsiTheme="minorEastAsia" w:eastAsiaTheme="minorEastAsia" w:cstheme="minorEastAsia"/>
                <w:color w:val="auto"/>
                <w:sz w:val="21"/>
                <w:szCs w:val="21"/>
                <w:highlight w:val="none"/>
                <w:lang w:eastAsia="zh-CN"/>
              </w:rPr>
              <w:t>（本项目不适用）</w:t>
            </w:r>
          </w:p>
        </w:tc>
        <w:tc>
          <w:tcPr>
            <w:tcW w:w="5574"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提供相同品牌</w:t>
            </w:r>
            <w:r>
              <w:rPr>
                <w:rFonts w:hint="eastAsia" w:asciiTheme="minorEastAsia" w:hAnsiTheme="minorEastAsia" w:eastAsiaTheme="minorEastAsia" w:cstheme="minorEastAsia"/>
                <w:color w:val="auto"/>
                <w:szCs w:val="21"/>
                <w:highlight w:val="none"/>
                <w:lang w:val="en-US" w:eastAsia="zh-CN"/>
              </w:rPr>
              <w:t>核心</w:t>
            </w:r>
            <w:r>
              <w:rPr>
                <w:rFonts w:hint="eastAsia" w:asciiTheme="minorEastAsia" w:hAnsiTheme="minorEastAsia" w:eastAsiaTheme="minorEastAsia" w:cstheme="minorEastAsia"/>
                <w:color w:val="auto"/>
                <w:szCs w:val="21"/>
                <w:highlight w:val="none"/>
              </w:rPr>
              <w:t>产品且通过资格审查、符合性审查的不同供应商参加同一合同项下竞标的，按一家供应商计算，评审后得分最高的同品牌供应商获得成交候选供应商推荐资格；评审得分相同的，由采购人确定或者采购人委托</w:t>
            </w:r>
            <w:r>
              <w:rPr>
                <w:rFonts w:hint="eastAsia" w:asciiTheme="minorEastAsia" w:hAnsiTheme="minorEastAsia" w:eastAsiaTheme="minorEastAsia" w:cstheme="minorEastAsia"/>
                <w:color w:val="auto"/>
                <w:szCs w:val="21"/>
                <w:highlight w:val="none"/>
                <w:lang w:eastAsia="zh-CN"/>
              </w:rPr>
              <w:t>谈判小组</w:t>
            </w:r>
            <w:r>
              <w:rPr>
                <w:rFonts w:hint="eastAsia" w:asciiTheme="minorEastAsia" w:hAnsiTheme="minorEastAsia" w:eastAsiaTheme="minorEastAsia" w:cstheme="minorEastAsia"/>
                <w:color w:val="auto"/>
                <w:szCs w:val="21"/>
                <w:highlight w:val="none"/>
              </w:rPr>
              <w:t xml:space="preserve">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非单一产品采购项目，采购人</w:t>
            </w:r>
            <w:r>
              <w:rPr>
                <w:rFonts w:hint="eastAsia" w:asciiTheme="minorEastAsia" w:hAnsiTheme="minorEastAsia" w:eastAsiaTheme="minorEastAsia" w:cstheme="minorEastAsia"/>
                <w:color w:val="auto"/>
                <w:szCs w:val="21"/>
                <w:highlight w:val="none"/>
                <w:lang w:val="en-US" w:eastAsia="zh-CN"/>
              </w:rPr>
              <w:t>可以不明确核心产品，也可以</w:t>
            </w:r>
            <w:r>
              <w:rPr>
                <w:rFonts w:hint="eastAsia" w:asciiTheme="minorEastAsia" w:hAnsiTheme="minorEastAsia" w:eastAsiaTheme="minorEastAsia" w:cstheme="minorEastAsia"/>
                <w:color w:val="auto"/>
                <w:szCs w:val="21"/>
                <w:highlight w:val="none"/>
              </w:rPr>
              <w:t>根据采购项目技术构成、产品价格比重等合理确定一个核心产品，并以“核心产品”在</w:t>
            </w:r>
            <w:r>
              <w:rPr>
                <w:rFonts w:hint="eastAsia" w:asciiTheme="minorEastAsia" w:hAnsiTheme="minorEastAsia" w:eastAsiaTheme="minorEastAsia" w:cstheme="minorEastAsia"/>
                <w:color w:val="auto"/>
                <w:szCs w:val="21"/>
                <w:highlight w:val="none"/>
                <w:lang w:eastAsia="zh-CN"/>
              </w:rPr>
              <w:t>谈判</w:t>
            </w:r>
            <w:r>
              <w:rPr>
                <w:rFonts w:hint="eastAsia" w:asciiTheme="minorEastAsia" w:hAnsiTheme="minorEastAsia" w:eastAsiaTheme="minorEastAsia" w:cstheme="minorEastAsia"/>
                <w:color w:val="auto"/>
                <w:szCs w:val="21"/>
                <w:highlight w:val="none"/>
              </w:rPr>
              <w:t>文件中标注。若核心产品不止</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个，各供应商所投任一核心产品的品牌相同，则按一家供应商计算。</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多家供应商提供的核心产品品牌相同的，按</w:t>
            </w:r>
            <w:r>
              <w:rPr>
                <w:rFonts w:hint="eastAsia" w:asciiTheme="minorEastAsia" w:hAnsiTheme="minorEastAsia" w:eastAsiaTheme="minorEastAsia" w:cstheme="minorEastAsia"/>
                <w:color w:val="auto"/>
                <w:szCs w:val="21"/>
                <w:highlight w:val="none"/>
                <w:lang w:val="en-US" w:eastAsia="zh-CN"/>
              </w:rPr>
              <w:t>上述</w:t>
            </w:r>
            <w:r>
              <w:rPr>
                <w:rFonts w:hint="eastAsia" w:asciiTheme="minorEastAsia" w:hAnsiTheme="minorEastAsia" w:eastAsiaTheme="minorEastAsia" w:cstheme="minorEastAsia"/>
                <w:color w:val="auto"/>
                <w:szCs w:val="21"/>
                <w:highlight w:val="none"/>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b/>
                <w:color w:val="auto"/>
                <w:kern w:val="0"/>
                <w:szCs w:val="21"/>
              </w:rPr>
              <w:t>政策支持</w:t>
            </w:r>
            <w:r>
              <w:rPr>
                <w:rFonts w:hint="eastAsia" w:asciiTheme="minorEastAsia" w:hAnsiTheme="minorEastAsia" w:eastAsiaTheme="minorEastAsia" w:cstheme="minorEastAsia"/>
                <w:b/>
                <w:color w:val="auto"/>
                <w:kern w:val="0"/>
                <w:szCs w:val="21"/>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spacing w:line="24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所属行业及</w:t>
            </w:r>
          </w:p>
          <w:p>
            <w:pPr>
              <w:widowControl/>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划型标准</w:t>
            </w:r>
          </w:p>
        </w:tc>
        <w:tc>
          <w:tcPr>
            <w:tcW w:w="7831" w:type="dxa"/>
            <w:gridSpan w:val="2"/>
            <w:vAlign w:val="center"/>
          </w:tcPr>
          <w:p>
            <w:pPr>
              <w:widowControl/>
              <w:spacing w:line="240" w:lineRule="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类型：</w:t>
            </w:r>
            <w:r>
              <w:rPr>
                <w:rFonts w:hint="eastAsia" w:asciiTheme="minorEastAsia" w:hAnsiTheme="minorEastAsia" w:eastAsiaTheme="minorEastAsia" w:cstheme="minorEastAsia"/>
                <w:strike w:val="0"/>
                <w:dstrike w:val="0"/>
                <w:color w:val="auto"/>
                <w:kern w:val="0"/>
                <w:szCs w:val="21"/>
                <w:highlight w:val="none"/>
                <w:lang w:val="en-US" w:eastAsia="zh-CN"/>
              </w:rPr>
              <w:t>/</w:t>
            </w:r>
          </w:p>
          <w:p>
            <w:pPr>
              <w:widowControl/>
              <w:spacing w:line="240" w:lineRule="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小型：</w:t>
            </w:r>
            <w:r>
              <w:rPr>
                <w:rFonts w:hint="eastAsia" w:asciiTheme="minorEastAsia" w:hAnsiTheme="minorEastAsia" w:eastAsiaTheme="minorEastAsia" w:cstheme="minorEastAsia"/>
                <w:color w:val="auto"/>
                <w:kern w:val="0"/>
                <w:szCs w:val="21"/>
                <w:highlight w:val="none"/>
                <w:u w:val="none"/>
              </w:rPr>
              <w:t>从业人员</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ab/>
            </w:r>
            <w:r>
              <w:rPr>
                <w:rFonts w:hint="eastAsia" w:asciiTheme="minorEastAsia" w:hAnsiTheme="minorEastAsia" w:eastAsiaTheme="minorEastAsia" w:cstheme="minorEastAsia"/>
                <w:color w:val="auto"/>
                <w:kern w:val="0"/>
                <w:szCs w:val="21"/>
                <w:highlight w:val="none"/>
                <w:u w:val="none"/>
              </w:rPr>
              <w:t>营业收入</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rPr>
              <w:t>资产总额</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微型：</w:t>
            </w:r>
            <w:r>
              <w:rPr>
                <w:rFonts w:hint="eastAsia" w:asciiTheme="minorEastAsia" w:hAnsiTheme="minorEastAsia" w:eastAsiaTheme="minorEastAsia" w:cstheme="minorEastAsia"/>
                <w:color w:val="auto"/>
                <w:kern w:val="0"/>
                <w:szCs w:val="21"/>
                <w:highlight w:val="none"/>
                <w:u w:val="none"/>
              </w:rPr>
              <w:t>从业人员</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ab/>
            </w:r>
            <w:r>
              <w:rPr>
                <w:rFonts w:hint="eastAsia" w:asciiTheme="minorEastAsia" w:hAnsiTheme="minorEastAsia" w:eastAsiaTheme="minorEastAsia" w:cstheme="minorEastAsia"/>
                <w:color w:val="auto"/>
                <w:kern w:val="0"/>
                <w:szCs w:val="21"/>
                <w:highlight w:val="none"/>
                <w:u w:val="none"/>
              </w:rPr>
              <w:t>营业收入</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rPr>
              <w:t>资产总额</w:t>
            </w:r>
            <w:r>
              <w:rPr>
                <w:rFonts w:hint="eastAsia" w:asciiTheme="minorEastAsia" w:hAnsiTheme="minorEastAsia" w:eastAsiaTheme="minorEastAsia" w:cstheme="minorEastAsia"/>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spacing w:line="24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 xml:space="preserve">300号文中对中小企业划型标准的， </w:t>
            </w:r>
            <w:r>
              <w:rPr>
                <w:rFonts w:hint="eastAsia" w:asciiTheme="minorEastAsia" w:hAnsiTheme="minorEastAsia" w:eastAsiaTheme="minorEastAsia" w:cstheme="minorEastAsia"/>
                <w:color w:val="auto"/>
                <w:kern w:val="0"/>
                <w:szCs w:val="21"/>
                <w:lang w:val="en-US" w:eastAsia="zh-CN"/>
              </w:rPr>
              <w:t>可</w:t>
            </w:r>
            <w:r>
              <w:rPr>
                <w:rFonts w:hint="eastAsia" w:asciiTheme="minorEastAsia" w:hAnsiTheme="minorEastAsia" w:eastAsiaTheme="minorEastAsia" w:cstheme="minorEastAsia"/>
                <w:color w:val="auto"/>
                <w:kern w:val="0"/>
                <w:szCs w:val="21"/>
              </w:rPr>
              <w:t>提供本单位的 《中小企业声明函》（格式见第六章）。</w:t>
            </w:r>
            <w:r>
              <w:rPr>
                <w:rFonts w:hint="eastAsia" w:asciiTheme="minorEastAsia" w:hAnsiTheme="minorEastAsia" w:eastAsiaTheme="minorEastAsia" w:cstheme="minorEastAsia"/>
                <w:color w:val="auto"/>
                <w:kern w:val="0"/>
                <w:szCs w:val="21"/>
                <w:lang w:val="en-US" w:eastAsia="zh-CN"/>
              </w:rPr>
              <w:t>谈判小组</w:t>
            </w:r>
            <w:r>
              <w:rPr>
                <w:rFonts w:hint="eastAsia" w:asciiTheme="minorEastAsia" w:hAnsiTheme="minorEastAsia" w:eastAsiaTheme="minorEastAsia" w:cstheme="minorEastAsia"/>
                <w:color w:val="auto"/>
                <w:kern w:val="0"/>
                <w:szCs w:val="21"/>
              </w:rPr>
              <w:t>将根据</w:t>
            </w:r>
            <w:r>
              <w:rPr>
                <w:rFonts w:hint="eastAsia" w:asciiTheme="minorEastAsia" w:hAnsiTheme="minorEastAsia" w:eastAsiaTheme="minorEastAsia" w:cstheme="minorEastAsia"/>
                <w:color w:val="auto"/>
                <w:kern w:val="0"/>
                <w:szCs w:val="21"/>
                <w:lang w:val="en-US" w:eastAsia="zh-CN"/>
              </w:rPr>
              <w:t>财库【2020】46号文《政府采购促进中小企业发展管理办法》及其它</w:t>
            </w:r>
            <w:r>
              <w:rPr>
                <w:rFonts w:hint="eastAsia" w:asciiTheme="minorEastAsia" w:hAnsiTheme="minorEastAsia" w:eastAsiaTheme="minorEastAsia" w:cstheme="minorEastAsia"/>
                <w:color w:val="auto"/>
                <w:kern w:val="0"/>
                <w:szCs w:val="21"/>
              </w:rPr>
              <w:t>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10</w:t>
            </w:r>
            <w:r>
              <w:rPr>
                <w:rFonts w:hint="eastAsia" w:asciiTheme="minorEastAsia" w:hAnsiTheme="minorEastAsia" w:eastAsiaTheme="minorEastAsia" w:cstheme="minorEastAsia"/>
                <w:color w:val="auto"/>
                <w:kern w:val="0"/>
                <w:szCs w:val="21"/>
              </w:rPr>
              <w:t>%的扣除后的价格参与评审</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适用于非专门面向中小企业、监狱企业、残疾人福利性的项目</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。大中型企业与小型、微型企业组成联合体共同参加非专门面向中小企业的政府采购活动，且联合体协议中约定小型、微型企业的协议合同金额占到联合体协议合同总金额30%以上的，给予联合体</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谈判小组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w:t>
            </w:r>
            <w:r>
              <w:rPr>
                <w:rFonts w:hint="eastAsia" w:asciiTheme="minorEastAsia" w:hAnsiTheme="minorEastAsia" w:eastAsiaTheme="minorEastAsia" w:cstheme="minorEastAsia"/>
                <w:color w:val="auto"/>
                <w:kern w:val="0"/>
                <w:szCs w:val="21"/>
                <w:lang w:val="en-US" w:eastAsia="zh-CN"/>
              </w:rPr>
              <w:t>10</w:t>
            </w:r>
            <w:r>
              <w:rPr>
                <w:rFonts w:hint="eastAsia" w:asciiTheme="minorEastAsia" w:hAnsiTheme="minorEastAsia" w:eastAsiaTheme="minorEastAsia" w:cstheme="minorEastAsia"/>
                <w:color w:val="auto"/>
                <w:kern w:val="0"/>
                <w:szCs w:val="21"/>
                <w:lang w:eastAsia="zh-CN"/>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谈判小组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w:t>
            </w:r>
            <w:r>
              <w:rPr>
                <w:rFonts w:hint="eastAsia" w:asciiTheme="minorEastAsia" w:hAnsiTheme="minorEastAsia" w:eastAsiaTheme="minorEastAsia" w:cstheme="minorEastAsia"/>
                <w:color w:val="auto"/>
                <w:kern w:val="0"/>
                <w:szCs w:val="21"/>
                <w:lang w:val="en-US" w:eastAsia="zh-CN"/>
              </w:rPr>
              <w:t>谈判小组</w:t>
            </w:r>
            <w:r>
              <w:rPr>
                <w:rFonts w:hint="eastAsia" w:asciiTheme="minorEastAsia" w:hAnsiTheme="minorEastAsia" w:eastAsiaTheme="minorEastAsia" w:cstheme="minorEastAsia"/>
                <w:color w:val="auto"/>
                <w:kern w:val="0"/>
                <w:szCs w:val="21"/>
              </w:rPr>
              <w:t>审核确认供应商投标产品符合以上政府采购政策的，给予该项</w:t>
            </w:r>
            <w:r>
              <w:rPr>
                <w:rFonts w:hint="eastAsia" w:asciiTheme="minorEastAsia" w:hAnsiTheme="minorEastAsia" w:eastAsiaTheme="minorEastAsia" w:cstheme="minorEastAsia"/>
                <w:color w:val="auto"/>
                <w:kern w:val="0"/>
                <w:szCs w:val="21"/>
                <w:lang w:val="en-US" w:eastAsia="zh-CN"/>
              </w:rPr>
              <w:t>竞标</w:t>
            </w:r>
            <w:r>
              <w:rPr>
                <w:rFonts w:hint="eastAsia" w:asciiTheme="minorEastAsia" w:hAnsiTheme="minorEastAsia" w:eastAsiaTheme="minorEastAsia" w:cstheme="minorEastAsia"/>
                <w:color w:val="auto"/>
                <w:kern w:val="0"/>
                <w:szCs w:val="21"/>
              </w:rPr>
              <w:t>产品所占价格的1%的价格扣除，用扣除后的价格参与评审。上述政府采购政策优惠须</w:t>
            </w:r>
            <w:r>
              <w:rPr>
                <w:rFonts w:hint="eastAsia" w:asciiTheme="minorEastAsia" w:hAnsiTheme="minorEastAsia" w:eastAsiaTheme="minorEastAsia" w:cstheme="minorEastAsia"/>
                <w:color w:val="auto"/>
                <w:kern w:val="0"/>
                <w:szCs w:val="21"/>
                <w:lang w:val="en-US" w:eastAsia="zh-CN"/>
              </w:rPr>
              <w:t>经谈判小组</w:t>
            </w:r>
            <w:r>
              <w:rPr>
                <w:rFonts w:hint="eastAsia" w:asciiTheme="minorEastAsia" w:hAnsiTheme="minorEastAsia" w:eastAsiaTheme="minorEastAsia" w:cstheme="minorEastAsia"/>
                <w:color w:val="auto"/>
                <w:kern w:val="0"/>
                <w:szCs w:val="21"/>
              </w:rPr>
              <w:t>评审后执行，未提供单独分项报价或证明资料不全的不给予价格扣除。同一项目包内的节能产品价格扣除只对属于节能产品政府清单内的非强制类产品进行，强制类产品已作为</w:t>
            </w:r>
            <w:r>
              <w:rPr>
                <w:rFonts w:hint="eastAsia" w:asciiTheme="minorEastAsia" w:hAnsiTheme="minorEastAsia" w:eastAsiaTheme="minorEastAsia" w:cstheme="minorEastAsia"/>
                <w:color w:val="auto"/>
                <w:kern w:val="0"/>
                <w:szCs w:val="21"/>
                <w:lang w:val="en-US" w:eastAsia="zh-CN"/>
              </w:rPr>
              <w:t>竞标</w:t>
            </w:r>
            <w:r>
              <w:rPr>
                <w:rFonts w:hint="eastAsia" w:asciiTheme="minorEastAsia" w:hAnsiTheme="minorEastAsia" w:eastAsiaTheme="minorEastAsia" w:cstheme="minorEastAsia"/>
                <w:color w:val="auto"/>
                <w:kern w:val="0"/>
                <w:szCs w:val="21"/>
              </w:rPr>
              <w:t>时强制性要求不再给予价格扣除。同时被认证为节能产品和环境标志产品的不重复享受价格扣除。</w:t>
            </w:r>
          </w:p>
        </w:tc>
      </w:tr>
    </w:tbl>
    <w:p>
      <w:pPr>
        <w:spacing w:line="360" w:lineRule="auto"/>
        <w:outlineLvl w:val="9"/>
        <w:rPr>
          <w:rFonts w:hint="eastAsia" w:asciiTheme="minorEastAsia" w:hAnsiTheme="minorEastAsia" w:eastAsiaTheme="minorEastAsia" w:cstheme="minorEastAsia"/>
          <w:b/>
          <w:szCs w:val="21"/>
        </w:rPr>
      </w:pPr>
    </w:p>
    <w:p>
      <w:pPr>
        <w:pStyle w:val="21"/>
        <w:outlineLvl w:val="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br w:type="page"/>
      </w:r>
      <w:bookmarkStart w:id="94" w:name="_Toc15349"/>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评定办法</w:t>
      </w:r>
      <w:bookmarkEnd w:id="94"/>
    </w:p>
    <w:p>
      <w:pPr>
        <w:numPr>
          <w:ilvl w:val="3"/>
          <w:numId w:val="7"/>
        </w:numPr>
        <w:tabs>
          <w:tab w:val="left" w:pos="540"/>
          <w:tab w:val="clear" w:pos="168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3"/>
        </w:numPr>
        <w:tabs>
          <w:tab w:val="left" w:pos="540"/>
          <w:tab w:val="clear" w:pos="360"/>
        </w:tabs>
        <w:spacing w:line="360" w:lineRule="auto"/>
        <w:ind w:left="540" w:hanging="54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符合性审查标准：见评定办法前附表。</w:t>
      </w:r>
    </w:p>
    <w:p>
      <w:pPr>
        <w:numPr>
          <w:ilvl w:val="1"/>
          <w:numId w:val="33"/>
        </w:numPr>
        <w:tabs>
          <w:tab w:val="left" w:pos="540"/>
          <w:tab w:val="clear" w:pos="360"/>
        </w:tabs>
        <w:spacing w:line="360" w:lineRule="auto"/>
        <w:ind w:left="540" w:hanging="54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资格性审查标准：见评定办法前附表。</w:t>
      </w:r>
    </w:p>
    <w:p>
      <w:pPr>
        <w:numPr>
          <w:ilvl w:val="3"/>
          <w:numId w:val="7"/>
        </w:numPr>
        <w:tabs>
          <w:tab w:val="left" w:pos="540"/>
          <w:tab w:val="clear" w:pos="1680"/>
        </w:tabs>
        <w:spacing w:line="360" w:lineRule="auto"/>
        <w:ind w:left="540" w:hanging="54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评定方法：见评定办法前附表。 </w:t>
      </w:r>
    </w:p>
    <w:p>
      <w:pPr>
        <w:numPr>
          <w:ilvl w:val="1"/>
          <w:numId w:val="34"/>
        </w:numPr>
        <w:tabs>
          <w:tab w:val="left" w:pos="540"/>
          <w:tab w:val="clear" w:pos="360"/>
        </w:tabs>
        <w:spacing w:line="360" w:lineRule="auto"/>
        <w:ind w:left="540" w:hanging="54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Cs/>
          <w:szCs w:val="21"/>
          <w:lang w:eastAsia="zh-CN"/>
        </w:rPr>
        <w:t>最低价法</w:t>
      </w:r>
      <w:r>
        <w:rPr>
          <w:rFonts w:hint="eastAsia" w:asciiTheme="minorEastAsia" w:hAnsiTheme="minorEastAsia" w:eastAsiaTheme="minorEastAsia" w:cstheme="minorEastAsia"/>
          <w:szCs w:val="21"/>
          <w:lang w:eastAsia="zh-CN"/>
        </w:rPr>
        <w:t>：谈判小组应当从质量和服务均能满足采购文件实质性响应要求的供应商中，按照最后报价由低到高的顺序提出前3名成交候选人。</w:t>
      </w:r>
    </w:p>
    <w:p>
      <w:pPr>
        <w:numPr>
          <w:ilvl w:val="3"/>
          <w:numId w:val="7"/>
        </w:numPr>
        <w:tabs>
          <w:tab w:val="left" w:pos="540"/>
          <w:tab w:val="clear" w:pos="168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napToGrid w:val="0"/>
          <w:szCs w:val="21"/>
          <w:lang w:val="zh-CN" w:eastAsia="zh-CN"/>
        </w:rPr>
        <w:t>3.1谈判小组严格按照本章要求对最终报价进行评定。</w:t>
      </w:r>
    </w:p>
    <w:p>
      <w:pPr>
        <w:spacing w:line="360" w:lineRule="auto"/>
        <w:jc w:val="left"/>
        <w:rPr>
          <w:rFonts w:hint="eastAsia" w:asciiTheme="minorEastAsia" w:hAnsiTheme="minorEastAsia" w:eastAsiaTheme="minorEastAsia" w:cstheme="minorEastAsia"/>
          <w:snapToGrid w:val="0"/>
          <w:szCs w:val="21"/>
          <w:lang w:val="zh-CN" w:eastAsia="zh-CN"/>
        </w:rPr>
      </w:pPr>
      <w:r>
        <w:rPr>
          <w:rFonts w:hint="eastAsia" w:asciiTheme="minorEastAsia" w:hAnsiTheme="minorEastAsia" w:eastAsiaTheme="minorEastAsia" w:cstheme="minorEastAsia"/>
          <w:snapToGrid w:val="0"/>
          <w:szCs w:val="21"/>
          <w:lang w:val="zh-CN" w:eastAsia="zh-CN"/>
        </w:rPr>
        <w:t>3.2完成评定后，谈判小组须在评审结果推荐意见上共同签字。</w:t>
      </w:r>
    </w:p>
    <w:p>
      <w:pPr>
        <w:spacing w:line="360" w:lineRule="auto"/>
        <w:jc w:val="left"/>
        <w:rPr>
          <w:rFonts w:hint="eastAsia" w:asciiTheme="minorEastAsia" w:hAnsiTheme="minorEastAsia" w:eastAsiaTheme="minorEastAsia" w:cstheme="minorEastAsia"/>
          <w:snapToGrid w:val="0"/>
          <w:szCs w:val="21"/>
          <w:lang w:val="zh-CN" w:eastAsia="zh-CN"/>
        </w:rPr>
      </w:pPr>
      <w:r>
        <w:rPr>
          <w:rFonts w:hint="eastAsia" w:asciiTheme="minorEastAsia" w:hAnsiTheme="minorEastAsia" w:eastAsiaTheme="minorEastAsia" w:cstheme="minorEastAsia"/>
          <w:snapToGrid w:val="0"/>
          <w:szCs w:val="21"/>
          <w:lang w:val="zh-CN" w:eastAsia="zh-CN"/>
        </w:rPr>
        <w:t>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numPr>
          <w:ilvl w:val="3"/>
          <w:numId w:val="7"/>
        </w:numPr>
        <w:tabs>
          <w:tab w:val="left" w:pos="540"/>
          <w:tab w:val="clear" w:pos="168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其它</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谈判供应商的最终报价均超过了采购预算，采购人不能支付的，谈判活动终止；终止后，采购人需要采取调整采购预算或项目配置标准等，或采取其他采购方式的，应当在采购活动开始前获得政府采购监督管理部门批准。</w:t>
      </w:r>
    </w:p>
    <w:p>
      <w:pPr>
        <w:outlineLvl w:val="9"/>
        <w:rPr>
          <w:color w:val="auto"/>
        </w:rPr>
      </w:pPr>
    </w:p>
    <w:p>
      <w:pPr>
        <w:spacing w:line="360" w:lineRule="auto"/>
        <w:outlineLvl w:val="1"/>
        <w:rPr>
          <w:rFonts w:hint="eastAsia" w:asciiTheme="minorEastAsia" w:hAnsiTheme="minorEastAsia" w:eastAsiaTheme="minorEastAsia" w:cstheme="minorEastAsia"/>
          <w:b/>
          <w:color w:val="auto"/>
          <w:szCs w:val="28"/>
        </w:rPr>
      </w:pPr>
      <w:bookmarkStart w:id="95" w:name="_Toc18492"/>
      <w:r>
        <w:rPr>
          <w:rFonts w:hint="eastAsia" w:asciiTheme="minorEastAsia" w:hAnsiTheme="minorEastAsia" w:eastAsiaTheme="minorEastAsia" w:cstheme="minorEastAsia"/>
          <w:b/>
          <w:color w:val="auto"/>
          <w:szCs w:val="21"/>
          <w:lang w:val="en-US" w:eastAsia="zh-CN"/>
        </w:rPr>
        <w:t>三、谈判及评审步骤</w:t>
      </w:r>
      <w:bookmarkEnd w:id="95"/>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1</w:t>
      </w:r>
      <w:r>
        <w:rPr>
          <w:rFonts w:hint="eastAsia" w:asciiTheme="minorEastAsia" w:hAnsiTheme="minorEastAsia" w:eastAsiaTheme="minorEastAsia" w:cstheme="minorEastAsia"/>
          <w:color w:val="auto"/>
          <w:szCs w:val="28"/>
        </w:rPr>
        <w:t>.资格和符合性审查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1</w:t>
      </w:r>
      <w:r>
        <w:rPr>
          <w:rFonts w:hint="eastAsia" w:asciiTheme="minorEastAsia" w:hAnsiTheme="minorEastAsia" w:eastAsiaTheme="minorEastAsia" w:cstheme="minorEastAsia"/>
          <w:color w:val="auto"/>
          <w:szCs w:val="28"/>
        </w:rPr>
        <w:t>.1</w:t>
      </w:r>
      <w:r>
        <w:rPr>
          <w:rFonts w:hint="eastAsia" w:asciiTheme="minorEastAsia" w:hAnsiTheme="minorEastAsia" w:eastAsiaTheme="minorEastAsia" w:cstheme="minorEastAsia"/>
          <w:color w:val="auto"/>
          <w:szCs w:val="28"/>
          <w:lang w:eastAsia="zh-CN"/>
        </w:rPr>
        <w:t>谈判</w:t>
      </w:r>
      <w:r>
        <w:rPr>
          <w:rFonts w:hint="eastAsia" w:asciiTheme="minorEastAsia" w:hAnsiTheme="minorEastAsia" w:eastAsiaTheme="minorEastAsia" w:cstheme="minorEastAsia"/>
          <w:color w:val="auto"/>
          <w:szCs w:val="28"/>
        </w:rPr>
        <w:t>小组审查每份响应文件是否实质上响应了采购文件的要求。</w:t>
      </w:r>
      <w:r>
        <w:rPr>
          <w:rFonts w:hint="eastAsia" w:asciiTheme="minorEastAsia" w:hAnsiTheme="minorEastAsia" w:eastAsiaTheme="minorEastAsia" w:cstheme="minorEastAsia"/>
          <w:color w:val="auto"/>
          <w:szCs w:val="28"/>
          <w:lang w:eastAsia="zh-CN"/>
        </w:rPr>
        <w:t>谈判</w:t>
      </w:r>
      <w:r>
        <w:rPr>
          <w:rFonts w:hint="eastAsia" w:asciiTheme="minorEastAsia" w:hAnsiTheme="minorEastAsia" w:eastAsiaTheme="minorEastAsia" w:cstheme="minorEastAsia"/>
          <w:color w:val="auto"/>
          <w:szCs w:val="28"/>
        </w:rPr>
        <w:t>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1</w:t>
      </w:r>
      <w:r>
        <w:rPr>
          <w:rFonts w:hint="eastAsia" w:asciiTheme="minorEastAsia" w:hAnsiTheme="minorEastAsia" w:eastAsiaTheme="minorEastAsia" w:cstheme="minorEastAsia"/>
          <w:color w:val="auto"/>
          <w:szCs w:val="28"/>
        </w:rPr>
        <w:t>.2</w:t>
      </w:r>
      <w:r>
        <w:rPr>
          <w:rFonts w:hint="eastAsia" w:asciiTheme="minorEastAsia" w:hAnsiTheme="minorEastAsia" w:eastAsiaTheme="minorEastAsia" w:cstheme="minorEastAsia"/>
          <w:color w:val="auto"/>
          <w:szCs w:val="28"/>
          <w:lang w:eastAsia="zh-CN"/>
        </w:rPr>
        <w:t>谈判</w:t>
      </w:r>
      <w:r>
        <w:rPr>
          <w:rFonts w:hint="eastAsia" w:asciiTheme="minorEastAsia" w:hAnsiTheme="minorEastAsia" w:eastAsiaTheme="minorEastAsia" w:cstheme="minorEastAsia"/>
          <w:color w:val="auto"/>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为贯彻落实财政部关于促进政府采购公平竞争优化营商环境的通知（财库[2019]38号）及其他优化营商环境等政策要求，</w:t>
      </w:r>
      <w:r>
        <w:rPr>
          <w:rFonts w:hint="eastAsia" w:asciiTheme="minorEastAsia" w:hAnsiTheme="minorEastAsia" w:eastAsiaTheme="minorEastAsia" w:cstheme="minorEastAsia"/>
          <w:color w:val="auto"/>
          <w:szCs w:val="28"/>
          <w:lang w:val="en-US" w:eastAsia="zh-CN"/>
        </w:rPr>
        <w:t>响应</w:t>
      </w:r>
      <w:r>
        <w:rPr>
          <w:rFonts w:hint="eastAsia" w:asciiTheme="minorEastAsia" w:hAnsiTheme="minorEastAsia" w:eastAsiaTheme="minorEastAsia" w:cstheme="minorEastAsia"/>
          <w:color w:val="auto"/>
          <w:szCs w:val="28"/>
        </w:rPr>
        <w:t>文件中出现的对履约服务质量不造成实质性影响的其他形式性等内容，</w:t>
      </w:r>
      <w:r>
        <w:rPr>
          <w:rFonts w:hint="eastAsia" w:asciiTheme="minorEastAsia" w:hAnsiTheme="minorEastAsia" w:eastAsiaTheme="minorEastAsia" w:cstheme="minorEastAsia"/>
          <w:color w:val="auto"/>
          <w:szCs w:val="28"/>
          <w:lang w:val="en-US" w:eastAsia="zh-CN"/>
        </w:rPr>
        <w:t>谈判小组</w:t>
      </w:r>
      <w:r>
        <w:rPr>
          <w:rFonts w:hint="eastAsia" w:asciiTheme="minorEastAsia" w:hAnsiTheme="minorEastAsia" w:eastAsiaTheme="minorEastAsia" w:cstheme="minorEastAsia"/>
          <w:color w:val="auto"/>
          <w:szCs w:val="28"/>
        </w:rPr>
        <w:t>也可以以书面形式要求</w:t>
      </w:r>
      <w:r>
        <w:rPr>
          <w:rFonts w:hint="eastAsia" w:asciiTheme="minorEastAsia" w:hAnsiTheme="minorEastAsia" w:eastAsiaTheme="minorEastAsia" w:cstheme="minorEastAsia"/>
          <w:color w:val="auto"/>
          <w:szCs w:val="28"/>
          <w:lang w:val="en-US" w:eastAsia="zh-CN"/>
        </w:rPr>
        <w:t>供应商</w:t>
      </w:r>
      <w:r>
        <w:rPr>
          <w:rFonts w:hint="eastAsia" w:asciiTheme="minorEastAsia" w:hAnsiTheme="minorEastAsia" w:eastAsiaTheme="minorEastAsia" w:cstheme="minorEastAsia"/>
          <w:color w:val="auto"/>
          <w:szCs w:val="28"/>
        </w:rPr>
        <w:t>作出必要的澄清、说明或者补正。</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2</w:t>
      </w:r>
      <w:r>
        <w:rPr>
          <w:rFonts w:hint="eastAsia" w:asciiTheme="minorEastAsia" w:hAnsiTheme="minorEastAsia" w:eastAsiaTheme="minorEastAsia" w:cstheme="minorEastAsia"/>
          <w:color w:val="auto"/>
          <w:szCs w:val="28"/>
        </w:rPr>
        <w:t>.供应商的澄清</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及最后报价</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小组所有成员应当集中与单一供应商分别进行</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，并按照</w:t>
      </w:r>
      <w:r>
        <w:rPr>
          <w:rFonts w:hint="eastAsia" w:asciiTheme="minorEastAsia" w:hAnsiTheme="minorEastAsia" w:eastAsiaTheme="minorEastAsia" w:cstheme="minorEastAsia"/>
          <w:szCs w:val="28"/>
          <w:lang w:val="en-US" w:eastAsia="zh-CN"/>
        </w:rPr>
        <w:t>谈判会随机抽签</w:t>
      </w:r>
      <w:r>
        <w:rPr>
          <w:rFonts w:hint="eastAsia" w:asciiTheme="minorEastAsia" w:hAnsiTheme="minorEastAsia" w:eastAsiaTheme="minorEastAsia" w:cstheme="minorEastAsia"/>
          <w:szCs w:val="28"/>
        </w:rPr>
        <w:t>的顺序给予所有参加</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的供应商平等的</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机会。</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b/>
          <w:szCs w:val="28"/>
        </w:rPr>
        <w:t>在</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过程中，若</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小组无法联系上供应商代表或者供应商代表在接到</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会现场的，视为该供应商自动退出</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.3</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小组在与供应商</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之前，应首先对参与</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的供应商代表的身份进行核验，未按采购文件要求提供身份证原件或经核验的供应商代表身份与证明文件（法定代表人身份证明或法定代表人授权委托书）或身份证不符的，</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小组有权拒绝该供应商参加</w:t>
      </w:r>
      <w:r>
        <w:rPr>
          <w:rFonts w:hint="eastAsia" w:asciiTheme="minorEastAsia" w:hAnsiTheme="minorEastAsia" w:eastAsiaTheme="minorEastAsia" w:cstheme="minorEastAsia"/>
          <w:b/>
          <w:szCs w:val="28"/>
          <w:lang w:eastAsia="zh-CN"/>
        </w:rPr>
        <w:t>谈判</w:t>
      </w:r>
      <w:r>
        <w:rPr>
          <w:rFonts w:hint="eastAsia" w:asciiTheme="minorEastAsia" w:hAnsiTheme="minorEastAsia" w:eastAsiaTheme="minorEastAsia" w:cstheme="minorEastAsia"/>
          <w:b/>
          <w:szCs w:val="28"/>
        </w:rPr>
        <w:t>。</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.4在</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过程中，</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小组可以根据采购文件和</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情况实质性变动采购需求中的技术、服务要求以及合同草案条款，但不得变动采购文件中的其他内容。实质性变动的内容，经采购人代表确认后，将作为采购文件的有效组成部分，</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小组应当及时以书面形式同时通知所有参加</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的供应商。</w:t>
      </w:r>
    </w:p>
    <w:p>
      <w:pPr>
        <w:spacing w:line="360" w:lineRule="auto"/>
        <w:ind w:firstLine="420" w:firstLineChars="200"/>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结束后，</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lang w:val="en-US" w:eastAsia="zh-CN"/>
        </w:rPr>
        <w:t>3</w:t>
      </w:r>
      <w:r>
        <w:rPr>
          <w:rFonts w:hint="eastAsia" w:asciiTheme="minorEastAsia" w:hAnsiTheme="minorEastAsia" w:eastAsiaTheme="minorEastAsia" w:cstheme="minorEastAsia"/>
          <w:bCs/>
          <w:szCs w:val="28"/>
        </w:rPr>
        <w:t>.</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情况退出</w:t>
      </w:r>
      <w:r>
        <w:rPr>
          <w:rFonts w:hint="eastAsia" w:asciiTheme="minorEastAsia" w:hAnsiTheme="minorEastAsia" w:eastAsiaTheme="minorEastAsia" w:cstheme="minorEastAsia"/>
          <w:szCs w:val="28"/>
          <w:lang w:eastAsia="zh-CN"/>
        </w:rPr>
        <w:t>谈判</w:t>
      </w:r>
      <w:r>
        <w:rPr>
          <w:rFonts w:hint="eastAsia" w:asciiTheme="minorEastAsia" w:hAnsiTheme="minorEastAsia" w:eastAsiaTheme="minorEastAsia" w:cstheme="minorEastAsia"/>
          <w:szCs w:val="28"/>
        </w:rPr>
        <w:t>。</w:t>
      </w:r>
    </w:p>
    <w:p>
      <w:pPr>
        <w:spacing w:line="360" w:lineRule="auto"/>
        <w:ind w:firstLine="42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4.竞标价格相同的排序原则</w:t>
      </w:r>
    </w:p>
    <w:p>
      <w:pPr>
        <w:spacing w:line="360" w:lineRule="auto"/>
        <w:ind w:firstLine="42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 xml:space="preserve">  竞标价格</w:t>
      </w:r>
      <w:r>
        <w:rPr>
          <w:rFonts w:hint="eastAsia" w:asciiTheme="minorEastAsia" w:hAnsiTheme="minorEastAsia" w:eastAsiaTheme="minorEastAsia" w:cstheme="minorEastAsia"/>
          <w:szCs w:val="28"/>
        </w:rPr>
        <w:t>相同的供应商，按</w:t>
      </w:r>
      <w:r>
        <w:rPr>
          <w:rFonts w:hint="eastAsia" w:asciiTheme="minorEastAsia" w:hAnsiTheme="minorEastAsia" w:eastAsiaTheme="minorEastAsia" w:cstheme="minorEastAsia"/>
          <w:szCs w:val="28"/>
          <w:lang w:eastAsia="zh-CN"/>
        </w:rPr>
        <w:t>注册资金</w:t>
      </w:r>
      <w:r>
        <w:rPr>
          <w:rFonts w:hint="eastAsia" w:asciiTheme="minorEastAsia" w:hAnsiTheme="minorEastAsia" w:eastAsiaTheme="minorEastAsia" w:cstheme="minorEastAsia"/>
          <w:szCs w:val="28"/>
        </w:rPr>
        <w:t>由</w:t>
      </w:r>
      <w:r>
        <w:rPr>
          <w:rFonts w:hint="eastAsia" w:asciiTheme="minorEastAsia" w:hAnsiTheme="minorEastAsia" w:eastAsiaTheme="minorEastAsia" w:cstheme="minorEastAsia"/>
          <w:szCs w:val="28"/>
          <w:lang w:eastAsia="zh-CN"/>
        </w:rPr>
        <w:t>高</w:t>
      </w:r>
      <w:r>
        <w:rPr>
          <w:rFonts w:hint="eastAsia" w:asciiTheme="minorEastAsia" w:hAnsiTheme="minorEastAsia" w:eastAsiaTheme="minorEastAsia" w:cstheme="minorEastAsia"/>
          <w:szCs w:val="28"/>
        </w:rPr>
        <w:t>到</w:t>
      </w:r>
      <w:r>
        <w:rPr>
          <w:rFonts w:hint="eastAsia" w:asciiTheme="minorEastAsia" w:hAnsiTheme="minorEastAsia" w:eastAsiaTheme="minorEastAsia" w:cstheme="minorEastAsia"/>
          <w:szCs w:val="28"/>
          <w:lang w:eastAsia="zh-CN"/>
        </w:rPr>
        <w:t>低</w:t>
      </w:r>
      <w:r>
        <w:rPr>
          <w:rFonts w:hint="eastAsia" w:asciiTheme="minorEastAsia" w:hAnsiTheme="minorEastAsia" w:eastAsiaTheme="minorEastAsia" w:cstheme="minorEastAsia"/>
          <w:szCs w:val="28"/>
        </w:rPr>
        <w:t>顺序排列。</w:t>
      </w:r>
      <w:r>
        <w:rPr>
          <w:rFonts w:hint="eastAsia" w:asciiTheme="minorEastAsia" w:hAnsiTheme="minorEastAsia" w:eastAsiaTheme="minorEastAsia" w:cstheme="minorEastAsia"/>
          <w:szCs w:val="28"/>
          <w:lang w:val="en-US" w:eastAsia="zh-CN"/>
        </w:rPr>
        <w:t>竞标价格</w:t>
      </w:r>
      <w:r>
        <w:rPr>
          <w:rFonts w:hint="eastAsia" w:asciiTheme="minorEastAsia" w:hAnsiTheme="minorEastAsia" w:eastAsiaTheme="minorEastAsia" w:cstheme="minorEastAsia"/>
          <w:szCs w:val="28"/>
        </w:rPr>
        <w:t>且</w:t>
      </w:r>
      <w:r>
        <w:rPr>
          <w:rFonts w:hint="eastAsia" w:asciiTheme="minorEastAsia" w:hAnsiTheme="minorEastAsia" w:eastAsiaTheme="minorEastAsia" w:cstheme="minorEastAsia"/>
          <w:szCs w:val="28"/>
          <w:lang w:eastAsia="zh-CN"/>
        </w:rPr>
        <w:t>注册资金</w:t>
      </w:r>
      <w:r>
        <w:rPr>
          <w:rFonts w:hint="eastAsia" w:asciiTheme="minorEastAsia" w:hAnsiTheme="minorEastAsia" w:eastAsiaTheme="minorEastAsia" w:cstheme="minorEastAsia"/>
          <w:szCs w:val="28"/>
        </w:rPr>
        <w:t>相同的，按</w:t>
      </w:r>
      <w:r>
        <w:rPr>
          <w:rFonts w:hint="eastAsia" w:asciiTheme="minorEastAsia" w:hAnsiTheme="minorEastAsia" w:eastAsiaTheme="minorEastAsia" w:cstheme="minorEastAsia"/>
          <w:szCs w:val="28"/>
          <w:lang w:eastAsia="zh-CN"/>
        </w:rPr>
        <w:t>文件中提</w:t>
      </w:r>
      <w:r>
        <w:rPr>
          <w:rFonts w:hint="eastAsia" w:asciiTheme="minorEastAsia" w:hAnsiTheme="minorEastAsia" w:eastAsiaTheme="minorEastAsia" w:cstheme="minorEastAsia"/>
          <w:szCs w:val="28"/>
          <w:lang w:val="en-US" w:eastAsia="zh-CN"/>
        </w:rPr>
        <w:t>供的业绩数量由多到少顺序排列。</w:t>
      </w:r>
    </w:p>
    <w:p>
      <w:pPr>
        <w:spacing w:line="360" w:lineRule="auto"/>
        <w:rPr>
          <w:rFonts w:hint="eastAsia" w:asciiTheme="minorEastAsia" w:hAnsiTheme="minorEastAsia" w:eastAsiaTheme="minorEastAsia" w:cstheme="minorEastAsia"/>
          <w:b/>
          <w:bCs/>
          <w:szCs w:val="28"/>
          <w:lang w:val="en-US" w:eastAsia="zh-CN"/>
        </w:rPr>
      </w:pPr>
      <w:bookmarkStart w:id="96" w:name="_Toc318643471"/>
      <w:bookmarkStart w:id="97" w:name="_Toc211783328"/>
      <w:bookmarkStart w:id="98" w:name="_Toc12783"/>
      <w:r>
        <w:rPr>
          <w:rFonts w:hint="eastAsia" w:asciiTheme="minorEastAsia" w:hAnsiTheme="minorEastAsia" w:eastAsiaTheme="minorEastAsia" w:cstheme="minorEastAsia"/>
          <w:b/>
          <w:bCs/>
          <w:szCs w:val="28"/>
          <w:lang w:val="en-US" w:eastAsia="zh-CN"/>
        </w:rPr>
        <w:t>谈判方式：</w:t>
      </w:r>
    </w:p>
    <w:p>
      <w:pPr>
        <w:spacing w:line="360" w:lineRule="auto"/>
        <w:ind w:firstLine="422" w:firstLineChars="200"/>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b/>
          <w:bCs/>
          <w:szCs w:val="28"/>
          <w:lang w:val="en-US" w:eastAsia="zh-CN"/>
        </w:rPr>
        <w:t>本次谈判采取2轮谈判3次报价的方式。确需增加谈判报价轮次的，在谈判过程中经谈判小组（三分之二以上评委）认定可以增加，但应当在评审报告中注明理由。</w:t>
      </w:r>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96"/>
      <w:bookmarkEnd w:id="97"/>
      <w:r>
        <w:rPr>
          <w:rFonts w:hint="eastAsia" w:asciiTheme="minorEastAsia" w:hAnsiTheme="minorEastAsia" w:eastAsiaTheme="minorEastAsia" w:cstheme="minorEastAsia"/>
          <w:sz w:val="36"/>
          <w:szCs w:val="36"/>
          <w:lang w:val="en-US" w:eastAsia="zh-CN"/>
        </w:rPr>
        <w:t>格式</w:t>
      </w:r>
      <w:bookmarkEnd w:id="98"/>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2"/>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时随同竞争性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2"/>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w:t>
      </w:r>
      <w:r>
        <w:rPr>
          <w:rFonts w:hint="eastAsia" w:asciiTheme="minorEastAsia" w:hAnsiTheme="minorEastAsia" w:eastAsiaTheme="minorEastAsia" w:cstheme="minorEastAsia"/>
          <w:kern w:val="0"/>
          <w:sz w:val="21"/>
          <w:szCs w:val="21"/>
          <w:lang w:eastAsia="zh-CN"/>
        </w:rPr>
        <w:t>谈判</w:t>
      </w:r>
      <w:r>
        <w:rPr>
          <w:rFonts w:hint="eastAsia" w:asciiTheme="minorEastAsia" w:hAnsiTheme="minorEastAsia" w:eastAsiaTheme="minorEastAsia" w:cstheme="minorEastAsia"/>
          <w:kern w:val="0"/>
          <w:sz w:val="21"/>
          <w:szCs w:val="21"/>
        </w:rPr>
        <w:t>采购文件的要求及供方竞争性</w:t>
      </w:r>
      <w:r>
        <w:rPr>
          <w:rFonts w:hint="eastAsia" w:asciiTheme="minorEastAsia" w:hAnsiTheme="minorEastAsia" w:eastAsiaTheme="minorEastAsia" w:cstheme="minorEastAsia"/>
          <w:kern w:val="0"/>
          <w:sz w:val="21"/>
          <w:szCs w:val="21"/>
          <w:lang w:eastAsia="zh-CN"/>
        </w:rPr>
        <w:t>谈判</w:t>
      </w:r>
      <w:r>
        <w:rPr>
          <w:rFonts w:hint="eastAsia" w:asciiTheme="minorEastAsia" w:hAnsiTheme="minorEastAsia" w:eastAsiaTheme="minorEastAsia" w:cstheme="minorEastAsia"/>
          <w:kern w:val="0"/>
          <w:sz w:val="21"/>
          <w:szCs w:val="21"/>
        </w:rPr>
        <w:t>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rPr>
      </w:pPr>
      <w:r>
        <w:rPr>
          <w:rFonts w:hint="eastAsia" w:asciiTheme="minorEastAsia" w:hAnsiTheme="minorEastAsia" w:eastAsiaTheme="minorEastAsia" w:cstheme="minorEastAsia"/>
          <w:szCs w:val="21"/>
        </w:rPr>
        <w:t>合同签订地址：</w:t>
      </w:r>
    </w:p>
    <w:p>
      <w:pPr>
        <w:pStyle w:val="3"/>
        <w:numPr>
          <w:ilvl w:val="0"/>
          <w:numId w:val="4"/>
        </w:numPr>
        <w:jc w:val="center"/>
        <w:rPr>
          <w:rFonts w:hint="eastAsia" w:asciiTheme="minorEastAsia" w:hAnsiTheme="minorEastAsia" w:eastAsiaTheme="minorEastAsia" w:cstheme="minorEastAsia"/>
          <w:sz w:val="36"/>
          <w:szCs w:val="36"/>
        </w:rPr>
      </w:pPr>
      <w:bookmarkStart w:id="99" w:name="_Toc29614"/>
      <w:r>
        <w:rPr>
          <w:rFonts w:hint="eastAsia" w:asciiTheme="minorEastAsia" w:hAnsiTheme="minorEastAsia" w:eastAsiaTheme="minorEastAsia" w:cstheme="minorEastAsia"/>
          <w:sz w:val="36"/>
          <w:szCs w:val="36"/>
        </w:rPr>
        <w:t>竞争性</w:t>
      </w:r>
      <w:r>
        <w:rPr>
          <w:rFonts w:hint="eastAsia" w:asciiTheme="minorEastAsia" w:hAnsiTheme="minorEastAsia" w:eastAsiaTheme="minorEastAsia" w:cstheme="minorEastAsia"/>
          <w:sz w:val="36"/>
          <w:szCs w:val="36"/>
          <w:lang w:eastAsia="zh-CN"/>
        </w:rPr>
        <w:t>谈判</w:t>
      </w:r>
      <w:r>
        <w:rPr>
          <w:rFonts w:hint="eastAsia" w:asciiTheme="minorEastAsia" w:hAnsiTheme="minorEastAsia" w:eastAsiaTheme="minorEastAsia" w:cstheme="minorEastAsia"/>
          <w:sz w:val="36"/>
          <w:szCs w:val="36"/>
        </w:rPr>
        <w:t>响应文件格式</w:t>
      </w:r>
      <w:bookmarkEnd w:id="99"/>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sz w:val="30"/>
          <w:szCs w:val="30"/>
          <w:lang w:val="en-US" w:eastAsia="zh-CN"/>
        </w:rPr>
        <w:t>项</w:t>
      </w:r>
      <w:r>
        <w:rPr>
          <w:rFonts w:hint="eastAsia" w:asciiTheme="minorEastAsia" w:hAnsiTheme="minorEastAsia" w:eastAsiaTheme="minorEastAsia" w:cstheme="minorEastAsia"/>
          <w:b/>
          <w:bCs/>
          <w:color w:val="auto"/>
          <w:sz w:val="30"/>
          <w:szCs w:val="30"/>
          <w:lang w:val="en-US" w:eastAsia="zh-CN"/>
        </w:rPr>
        <w:t>目编号</w:t>
      </w:r>
      <w:r>
        <w:rPr>
          <w:rFonts w:hint="eastAsia" w:asciiTheme="minorEastAsia" w:hAnsiTheme="minorEastAsia" w:eastAsiaTheme="minorEastAsia" w:cstheme="minorEastAsia"/>
          <w:b/>
          <w:bCs/>
          <w:color w:val="auto"/>
          <w:sz w:val="30"/>
          <w:szCs w:val="30"/>
        </w:rPr>
        <w:t>：</w:t>
      </w:r>
      <w:r>
        <w:rPr>
          <w:rFonts w:hint="eastAsia" w:asciiTheme="minorEastAsia" w:hAnsiTheme="minorEastAsia" w:eastAsiaTheme="minorEastAsia" w:cstheme="minorEastAsia"/>
          <w:b/>
          <w:bCs/>
          <w:color w:val="auto"/>
          <w:sz w:val="30"/>
          <w:szCs w:val="30"/>
          <w:u w:val="single"/>
        </w:rPr>
        <w:t xml:space="preserve">                            </w:t>
      </w:r>
    </w:p>
    <w:p>
      <w:pPr>
        <w:tabs>
          <w:tab w:val="left" w:pos="7230"/>
        </w:tabs>
        <w:spacing w:line="360" w:lineRule="auto"/>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rPr>
        <w:t>项目名称：</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spacing w:line="360" w:lineRule="auto"/>
        <w:ind w:firstLine="1190" w:firstLineChars="395"/>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color w:val="auto"/>
          <w:sz w:val="32"/>
          <w:u w:val="single"/>
        </w:rPr>
      </w:pPr>
      <w:r>
        <w:rPr>
          <w:rFonts w:hint="eastAsia" w:asciiTheme="minorEastAsia" w:hAnsiTheme="minorEastAsia" w:eastAsiaTheme="minorEastAsia" w:cstheme="minorEastAsia"/>
          <w:color w:val="auto"/>
          <w:sz w:val="28"/>
          <w:szCs w:val="28"/>
          <w:lang w:eastAsia="zh-CN"/>
        </w:rPr>
        <w:t>谈判</w:t>
      </w:r>
      <w:r>
        <w:rPr>
          <w:rFonts w:hint="eastAsia" w:asciiTheme="minorEastAsia" w:hAnsiTheme="minorEastAsia" w:eastAsiaTheme="minorEastAsia" w:cstheme="minorEastAsia"/>
          <w:color w:val="auto"/>
          <w:sz w:val="28"/>
          <w:szCs w:val="28"/>
        </w:rPr>
        <w:t>供应商名称（盖章）：</w:t>
      </w:r>
      <w:r>
        <w:rPr>
          <w:rFonts w:hint="eastAsia" w:asciiTheme="minorEastAsia" w:hAnsiTheme="minorEastAsia" w:eastAsiaTheme="minorEastAsia" w:cstheme="minorEastAsia"/>
          <w:b/>
          <w:bCs/>
          <w:color w:val="auto"/>
          <w:sz w:val="32"/>
          <w:u w:val="single"/>
        </w:rPr>
        <w:t xml:space="preserve">                       </w:t>
      </w:r>
      <w:bookmarkStart w:id="100" w:name="_Toc23858"/>
      <w:bookmarkStart w:id="101" w:name="_Toc5751"/>
    </w:p>
    <w:p>
      <w:pPr>
        <w:autoSpaceDE w:val="0"/>
        <w:autoSpaceDN w:val="0"/>
        <w:adjustRightInd w:val="0"/>
        <w:spacing w:line="360" w:lineRule="auto"/>
        <w:ind w:firstLine="1260" w:firstLineChars="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          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bookmarkEnd w:id="100"/>
    <w:bookmarkEnd w:id="101"/>
    <w:p>
      <w:pPr>
        <w:autoSpaceDE w:val="0"/>
        <w:autoSpaceDN w:val="0"/>
        <w:adjustRightInd w:val="0"/>
        <w:spacing w:line="360" w:lineRule="auto"/>
        <w:jc w:val="center"/>
        <w:outlineLvl w:val="1"/>
        <w:rPr>
          <w:rFonts w:hint="eastAsia" w:asciiTheme="minorEastAsia" w:hAnsiTheme="minorEastAsia" w:eastAsiaTheme="minorEastAsia" w:cstheme="minorEastAsia"/>
          <w:b w:val="0"/>
          <w:bCs/>
          <w:color w:val="auto"/>
          <w:spacing w:val="6"/>
          <w:szCs w:val="21"/>
        </w:rPr>
      </w:pPr>
      <w:bookmarkStart w:id="102" w:name="_Toc264644272"/>
      <w:bookmarkStart w:id="103" w:name="_Toc360174584"/>
      <w:bookmarkStart w:id="104" w:name="_Toc211783342"/>
      <w:bookmarkStart w:id="105" w:name="_Toc533331084"/>
      <w:bookmarkStart w:id="106" w:name="_Toc533330957"/>
      <w:bookmarkStart w:id="107" w:name="_Toc11320441"/>
      <w:r>
        <w:rPr>
          <w:rFonts w:hint="eastAsia" w:asciiTheme="minorEastAsia" w:hAnsiTheme="minorEastAsia" w:eastAsiaTheme="minorEastAsia" w:cstheme="minorEastAsia"/>
          <w:b/>
          <w:bCs/>
          <w:color w:val="auto"/>
          <w:sz w:val="24"/>
        </w:rPr>
        <w:br w:type="page"/>
      </w:r>
      <w:bookmarkStart w:id="108" w:name="_Toc29336"/>
      <w:r>
        <w:rPr>
          <w:rFonts w:hint="eastAsia" w:asciiTheme="minorEastAsia" w:hAnsiTheme="minorEastAsia" w:eastAsiaTheme="minorEastAsia" w:cstheme="minorEastAsia"/>
          <w:b/>
          <w:color w:val="auto"/>
          <w:lang w:val="en-US" w:eastAsia="zh-CN"/>
        </w:rPr>
        <w:t>一、响应文件目录</w:t>
      </w:r>
      <w:bookmarkEnd w:id="102"/>
      <w:bookmarkEnd w:id="103"/>
      <w:bookmarkEnd w:id="108"/>
    </w:p>
    <w:p>
      <w:pPr>
        <w:autoSpaceDE w:val="0"/>
        <w:autoSpaceDN w:val="0"/>
        <w:adjustRightInd w:val="0"/>
        <w:spacing w:line="480" w:lineRule="auto"/>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注：竞争性</w:t>
      </w:r>
      <w:r>
        <w:rPr>
          <w:rFonts w:hint="eastAsia" w:asciiTheme="minorEastAsia" w:hAnsiTheme="minorEastAsia" w:eastAsiaTheme="minorEastAsia" w:cstheme="minorEastAsia"/>
          <w:b w:val="0"/>
          <w:bCs/>
          <w:color w:val="auto"/>
          <w:lang w:eastAsia="zh-CN"/>
        </w:rPr>
        <w:t>谈判</w:t>
      </w:r>
      <w:r>
        <w:rPr>
          <w:rFonts w:hint="eastAsia" w:asciiTheme="minorEastAsia" w:hAnsiTheme="minorEastAsia" w:eastAsiaTheme="minorEastAsia" w:cstheme="minorEastAsia"/>
          <w:b w:val="0"/>
          <w:bCs/>
          <w:color w:val="auto"/>
        </w:rPr>
        <w:t>响应文件目录及内容每页须顺序编写页码。</w:t>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09" w:name="_Toc15789"/>
      <w:bookmarkStart w:id="110" w:name="_Toc479184125"/>
      <w:bookmarkStart w:id="111" w:name="_Toc30144"/>
      <w:bookmarkStart w:id="112" w:name="_Toc10071"/>
      <w:r>
        <w:rPr>
          <w:rFonts w:hint="eastAsia" w:asciiTheme="minorEastAsia" w:hAnsiTheme="minorEastAsia" w:eastAsiaTheme="minorEastAsia" w:cstheme="minorEastAsia"/>
          <w:b/>
          <w:color w:val="auto"/>
          <w:lang w:val="en-US" w:eastAsia="zh-CN"/>
        </w:rPr>
        <w:t>二</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lang w:eastAsia="zh-CN"/>
        </w:rPr>
        <w:t>谈判</w:t>
      </w:r>
      <w:r>
        <w:rPr>
          <w:rFonts w:hint="eastAsia" w:asciiTheme="minorEastAsia" w:hAnsiTheme="minorEastAsia" w:eastAsiaTheme="minorEastAsia" w:cstheme="minorEastAsia"/>
          <w:b/>
          <w:color w:val="auto"/>
        </w:rPr>
        <w:t>书</w:t>
      </w:r>
      <w:bookmarkEnd w:id="109"/>
      <w:bookmarkEnd w:id="110"/>
      <w:bookmarkEnd w:id="111"/>
      <w:bookmarkEnd w:id="112"/>
    </w:p>
    <w:p>
      <w:pPr>
        <w:pStyle w:val="21"/>
        <w:rPr>
          <w:rFonts w:hint="eastAsia" w:asciiTheme="minorEastAsia" w:hAnsiTheme="minorEastAsia" w:eastAsiaTheme="minorEastAsia" w:cstheme="minorEastAsia"/>
          <w:b/>
          <w:color w:val="auto"/>
          <w:szCs w:val="21"/>
        </w:rPr>
      </w:pPr>
    </w:p>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依据贵方（项目名称/</w:t>
      </w:r>
      <w:r>
        <w:rPr>
          <w:rFonts w:hint="eastAsia" w:asciiTheme="minorEastAsia" w:hAnsiTheme="minorEastAsia" w:eastAsiaTheme="minorEastAsia" w:cstheme="minorEastAsia"/>
          <w:color w:val="auto"/>
          <w:kern w:val="0"/>
          <w:szCs w:val="21"/>
          <w:lang w:val="en-US" w:eastAsia="zh-CN"/>
        </w:rPr>
        <w:t>项目</w:t>
      </w:r>
      <w:r>
        <w:rPr>
          <w:rFonts w:hint="eastAsia" w:asciiTheme="minorEastAsia" w:hAnsiTheme="minorEastAsia" w:eastAsiaTheme="minorEastAsia" w:cstheme="minorEastAsia"/>
          <w:color w:val="auto"/>
          <w:kern w:val="0"/>
          <w:szCs w:val="21"/>
        </w:rPr>
        <w:t>编号）项目第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包</w:t>
      </w:r>
      <w:r>
        <w:rPr>
          <w:rFonts w:hint="eastAsia" w:asciiTheme="minorEastAsia" w:hAnsiTheme="minorEastAsia" w:eastAsiaTheme="minorEastAsia" w:cstheme="minorEastAsia"/>
          <w:color w:val="auto"/>
          <w:kern w:val="0"/>
          <w:szCs w:val="21"/>
          <w:lang w:val="en-US" w:eastAsia="zh-CN"/>
        </w:rPr>
        <w:t>工程</w:t>
      </w:r>
      <w:r>
        <w:rPr>
          <w:rFonts w:hint="eastAsia" w:asciiTheme="minorEastAsia" w:hAnsiTheme="minorEastAsia" w:eastAsiaTheme="minorEastAsia" w:cstheme="minorEastAsia"/>
          <w:color w:val="auto"/>
          <w:kern w:val="0"/>
          <w:szCs w:val="21"/>
        </w:rPr>
        <w:t>的</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邀请，我方代表（姓名、职务）经正式授权并代表供应商（供应商的名称、地址）提交下述文件正本一份，副本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numPr>
          <w:ilvl w:val="1"/>
          <w:numId w:val="35"/>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竞争性</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响应文件；</w:t>
      </w:r>
    </w:p>
    <w:p>
      <w:pPr>
        <w:numPr>
          <w:ilvl w:val="1"/>
          <w:numId w:val="35"/>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资格证明文件；</w:t>
      </w:r>
    </w:p>
    <w:p>
      <w:pPr>
        <w:numPr>
          <w:ilvl w:val="1"/>
          <w:numId w:val="35"/>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按采购的规定递交</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元（人民币大写）的保证金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并进行如下承诺声明：</w:t>
      </w:r>
    </w:p>
    <w:p>
      <w:pPr>
        <w:numPr>
          <w:ilvl w:val="0"/>
          <w:numId w:val="36"/>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我公司在参加本次政府采购活动前</w:t>
      </w:r>
      <w:r>
        <w:rPr>
          <w:rFonts w:hint="eastAsia" w:asciiTheme="minorEastAsia" w:hAnsiTheme="minorEastAsia" w:eastAsiaTheme="minorEastAsia" w:cstheme="minorEastAsia"/>
          <w:color w:val="auto"/>
          <w:kern w:val="0"/>
          <w:szCs w:val="21"/>
        </w:rPr>
        <w:t>3年内在经营活动中没有重大违法记录；</w:t>
      </w:r>
    </w:p>
    <w:p>
      <w:pPr>
        <w:numPr>
          <w:ilvl w:val="0"/>
          <w:numId w:val="36"/>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我公司在本响应文件中所提供的全部资格证明文件均真实有效，我方承诺对其真实性负责并承担相应后果；</w:t>
      </w:r>
    </w:p>
    <w:p>
      <w:pPr>
        <w:numPr>
          <w:ilvl w:val="0"/>
          <w:numId w:val="36"/>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我公司在本响应文件中所响应的内容均将成为签订合同的依据，并承诺按响应内容提供相应服务；</w:t>
      </w:r>
    </w:p>
    <w:p>
      <w:pPr>
        <w:numPr>
          <w:ilvl w:val="0"/>
          <w:numId w:val="36"/>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4.1</w:t>
      </w:r>
      <w:r>
        <w:rPr>
          <w:rFonts w:hint="eastAsia" w:asciiTheme="minorEastAsia" w:hAnsiTheme="minorEastAsia" w:eastAsiaTheme="minorEastAsia" w:cstheme="minorEastAsia"/>
          <w:b w:val="0"/>
          <w:bCs w:val="0"/>
          <w:color w:val="auto"/>
          <w:lang w:val="en-US" w:eastAsia="zh-CN"/>
        </w:rPr>
        <w:t>与我方单位负责人为同一人的其他单位名称：□无；□有，具体单位名称为：</w:t>
      </w:r>
      <w:r>
        <w:rPr>
          <w:rFonts w:hint="eastAsia" w:asciiTheme="minorEastAsia" w:hAnsiTheme="minorEastAsia" w:eastAsiaTheme="minorEastAsia" w:cstheme="minorEastAsia"/>
          <w:b w:val="0"/>
          <w:bCs w:val="0"/>
          <w:color w:val="auto"/>
          <w:u w:val="single"/>
          <w:lang w:val="en-US" w:eastAsia="zh-CN"/>
        </w:rPr>
        <w:t>     </w:t>
      </w:r>
      <w:r>
        <w:rPr>
          <w:rFonts w:hint="eastAsia" w:asciiTheme="minorEastAsia" w:hAnsiTheme="minorEastAsia" w:eastAsiaTheme="minorEastAsia" w:cstheme="minorEastAsia"/>
          <w:b w:val="0"/>
          <w:bCs w:val="0"/>
          <w:color w:val="auto"/>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color w:val="auto"/>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color w:val="auto"/>
          <w:u w:val="single"/>
          <w:lang w:val="en-US" w:eastAsia="zh-CN"/>
        </w:rPr>
        <w:t>     </w:t>
      </w:r>
    </w:p>
    <w:p>
      <w:pPr>
        <w:outlineLvl w:val="9"/>
        <w:rPr>
          <w:rFonts w:hint="eastAsia"/>
          <w:color w:val="auto"/>
          <w:lang w:val="en-US" w:eastAsia="zh-CN"/>
        </w:rPr>
      </w:pPr>
      <w:r>
        <w:rPr>
          <w:rFonts w:hint="eastAsia" w:asciiTheme="minorEastAsia" w:hAnsiTheme="minorEastAsia" w:eastAsiaTheme="minorEastAsia" w:cstheme="minorEastAsia"/>
          <w:b/>
          <w:bCs/>
          <w:color w:val="auto"/>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在此，我方宣布同意如下：</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所附《报价一览表》中规定的应提交和交付的货物报价总价为</w:t>
      </w:r>
      <w:r>
        <w:rPr>
          <w:rFonts w:hint="eastAsia" w:asciiTheme="minorEastAsia" w:hAnsiTheme="minorEastAsia" w:eastAsiaTheme="minorEastAsia" w:cstheme="minorEastAsia"/>
          <w:color w:val="auto"/>
          <w:kern w:val="0"/>
          <w:szCs w:val="21"/>
          <w:u w:val="single"/>
        </w:rPr>
        <w:t>（注明币种，并用文字和数字表示的报价总价）</w:t>
      </w:r>
      <w:r>
        <w:rPr>
          <w:rFonts w:hint="eastAsia" w:asciiTheme="minorEastAsia" w:hAnsiTheme="minorEastAsia" w:eastAsiaTheme="minorEastAsia" w:cstheme="minorEastAsia"/>
          <w:color w:val="auto"/>
          <w:kern w:val="0"/>
          <w:szCs w:val="21"/>
        </w:rPr>
        <w:t>。</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将按竞争性</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采购文件的约定履行合同责任和义务。</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已详细审查全部竞争性</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采购文件，包括</w:t>
      </w:r>
      <w:r>
        <w:rPr>
          <w:rFonts w:hint="eastAsia" w:asciiTheme="minorEastAsia" w:hAnsiTheme="minorEastAsia" w:eastAsiaTheme="minorEastAsia" w:cstheme="minorEastAsia"/>
          <w:color w:val="auto"/>
          <w:kern w:val="0"/>
          <w:szCs w:val="21"/>
          <w:u w:val="single"/>
        </w:rPr>
        <w:t>（补充文件等）</w:t>
      </w:r>
      <w:r>
        <w:rPr>
          <w:rFonts w:hint="eastAsia" w:asciiTheme="minorEastAsia" w:hAnsiTheme="minorEastAsia" w:eastAsiaTheme="minorEastAsia" w:cstheme="minorEastAsia"/>
          <w:color w:val="auto"/>
          <w:kern w:val="0"/>
          <w:szCs w:val="21"/>
        </w:rPr>
        <w:t>，对此无异议。</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本竞争性</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响应文件的有效期自</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截止时间起共</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kern w:val="0"/>
          <w:sz w:val="21"/>
          <w:szCs w:val="21"/>
          <w:u w:val="single"/>
          <w:lang w:val="en-US" w:eastAsia="zh-CN"/>
        </w:rPr>
        <w:t>90</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日历天</w:t>
      </w:r>
      <w:r>
        <w:rPr>
          <w:rFonts w:hint="eastAsia" w:asciiTheme="minorEastAsia" w:hAnsiTheme="minorEastAsia" w:eastAsiaTheme="minorEastAsia" w:cstheme="minorEastAsia"/>
          <w:color w:val="auto"/>
          <w:kern w:val="0"/>
          <w:szCs w:val="21"/>
          <w:lang w:eastAsia="zh-CN"/>
        </w:rPr>
        <w:t>。</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接收竞争性</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采购文件中关于没收保证金的约定。</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同意提供按照贵方可能要求的与其报价有关的一切数据或资料。</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与本报价有关的一切正式往来信函请寄：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numPr>
          <w:ilvl w:val="6"/>
          <w:numId w:val="37"/>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8.  我公司若有幸成为本项目的成交供应商，则我公司承诺按照采购文件及成交结果公告规定的方式、时间和金额向采购代理机构交纳成交服务费。</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    应    商：（</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授权代表</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签字</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color w:val="auto"/>
        </w:rPr>
      </w:pPr>
      <w:bookmarkStart w:id="113" w:name="_Toc15063"/>
      <w:bookmarkStart w:id="114" w:name="_Toc24205"/>
      <w:bookmarkStart w:id="115" w:name="_Toc479184126"/>
      <w:bookmarkStart w:id="116" w:name="_Toc13969"/>
      <w:r>
        <w:rPr>
          <w:rFonts w:hint="eastAsia" w:asciiTheme="minorEastAsia" w:hAnsiTheme="minorEastAsia" w:eastAsiaTheme="minorEastAsia" w:cstheme="minorEastAsia"/>
          <w:b/>
          <w:color w:val="auto"/>
          <w:lang w:val="en-US" w:eastAsia="zh-CN"/>
        </w:rPr>
        <w:t>三</w:t>
      </w:r>
      <w:r>
        <w:rPr>
          <w:rFonts w:hint="eastAsia" w:asciiTheme="minorEastAsia" w:hAnsiTheme="minorEastAsia" w:eastAsiaTheme="minorEastAsia" w:cstheme="minorEastAsia"/>
          <w:b/>
          <w:color w:val="auto"/>
        </w:rPr>
        <w:t>、法定代表人授权书</w:t>
      </w:r>
      <w:bookmarkEnd w:id="113"/>
      <w:bookmarkEnd w:id="114"/>
      <w:bookmarkEnd w:id="115"/>
      <w:bookmarkEnd w:id="116"/>
    </w:p>
    <w:p>
      <w:pPr>
        <w:rPr>
          <w:rFonts w:hint="eastAsia" w:asciiTheme="minorEastAsia" w:hAnsiTheme="minorEastAsia" w:eastAsiaTheme="minorEastAsia" w:cstheme="minorEastAsia"/>
          <w:color w:val="auto"/>
          <w:kern w:val="0"/>
          <w:szCs w:val="21"/>
        </w:rPr>
      </w:pPr>
    </w:p>
    <w:p>
      <w:pP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兹授权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同志为我公司参加贵单位组织的</w:t>
      </w:r>
      <w:r>
        <w:rPr>
          <w:rFonts w:hint="eastAsia" w:asciiTheme="minorEastAsia" w:hAnsiTheme="minorEastAsia" w:eastAsiaTheme="minorEastAsia" w:cstheme="minorEastAsia"/>
          <w:color w:val="auto"/>
          <w:kern w:val="0"/>
          <w:szCs w:val="21"/>
          <w:u w:val="single"/>
        </w:rPr>
        <w:t>（项目名称）</w:t>
      </w:r>
      <w:r>
        <w:rPr>
          <w:rFonts w:hint="eastAsia" w:asciiTheme="minorEastAsia" w:hAnsiTheme="minorEastAsia" w:eastAsiaTheme="minorEastAsia" w:cstheme="minorEastAsia"/>
          <w:color w:val="auto"/>
          <w:kern w:val="0"/>
          <w:szCs w:val="21"/>
        </w:rPr>
        <w:t>采购活动的供应商代表人（</w:t>
      </w:r>
      <w:r>
        <w:rPr>
          <w:rFonts w:hint="eastAsia" w:asciiTheme="minorEastAsia" w:hAnsiTheme="minorEastAsia" w:eastAsiaTheme="minorEastAsia" w:cstheme="minorEastAsia"/>
          <w:color w:val="auto"/>
          <w:kern w:val="0"/>
          <w:szCs w:val="21"/>
          <w:lang w:eastAsia="zh-CN"/>
        </w:rPr>
        <w:t>谈判</w:t>
      </w:r>
      <w:r>
        <w:rPr>
          <w:rFonts w:hint="eastAsia" w:asciiTheme="minorEastAsia" w:hAnsiTheme="minorEastAsia" w:eastAsiaTheme="minorEastAsia" w:cstheme="minorEastAsia"/>
          <w:color w:val="auto"/>
          <w:kern w:val="0"/>
          <w:szCs w:val="21"/>
        </w:rPr>
        <w:t>代表），全权代表我公司处理在该项目采购活动中的一切事宜。代理期限从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日起至</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授权单位（</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签发日期：</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附：</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职务：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color w:val="auto"/>
              </w:rPr>
            </w:pPr>
            <w:r>
              <w:rPr>
                <w:rFonts w:hint="eastAsia"/>
                <w:color w:val="auto"/>
                <w:lang w:val="en-US" w:eastAsia="zh-CN"/>
              </w:rPr>
              <w:t>授权代表</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p>
            <w:pPr>
              <w:autoSpaceDE w:val="0"/>
              <w:autoSpaceDN w:val="0"/>
              <w:adjustRightInd w:val="0"/>
              <w:spacing w:line="360" w:lineRule="auto"/>
              <w:jc w:val="left"/>
              <w:rPr>
                <w:rFonts w:hint="eastAsia"/>
                <w:color w:val="auto"/>
              </w:rPr>
            </w:pPr>
            <w:r>
              <w:rPr>
                <w:rFonts w:hint="eastAsia"/>
                <w:color w:val="auto"/>
                <w:lang w:val="en-US" w:eastAsia="zh-CN"/>
              </w:rPr>
              <w:t>法定代表</w:t>
            </w:r>
            <w:r>
              <w:rPr>
                <w:rFonts w:hint="eastAsia"/>
                <w:color w:val="auto"/>
              </w:rPr>
              <w:t>人身份证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w:t>
            </w:r>
            <w:r>
              <w:rPr>
                <w:rFonts w:hint="eastAsia"/>
                <w:b/>
                <w:bCs/>
                <w:lang w:eastAsia="zh-CN"/>
              </w:rPr>
              <w:t>谈判</w:t>
            </w:r>
            <w:r>
              <w:rPr>
                <w:rFonts w:hint="eastAsia"/>
                <w:b/>
                <w:bCs/>
              </w:rPr>
              <w:t>并签署响应文件，无须提供本授权书。</w:t>
            </w:r>
          </w:p>
        </w:tc>
      </w:tr>
    </w:tbl>
    <w:p>
      <w:pPr>
        <w:tabs>
          <w:tab w:val="left" w:pos="540"/>
        </w:tabs>
        <w:autoSpaceDE w:val="0"/>
        <w:autoSpaceDN w:val="0"/>
        <w:adjustRightInd w:val="0"/>
        <w:spacing w:line="360" w:lineRule="auto"/>
        <w:jc w:val="center"/>
        <w:outlineLvl w:val="9"/>
        <w:rPr>
          <w:rFonts w:hint="eastAsia" w:asciiTheme="minorEastAsia" w:hAnsiTheme="minorEastAsia" w:eastAsiaTheme="minorEastAsia" w:cstheme="minorEastAsia"/>
          <w:b/>
          <w:bCs/>
          <w:kern w:val="0"/>
          <w:szCs w:val="21"/>
          <w:lang w:val="en-US" w:eastAsia="zh-CN"/>
        </w:rPr>
      </w:pPr>
      <w:bookmarkStart w:id="117" w:name="_Toc432149008"/>
      <w:bookmarkStart w:id="118" w:name="_Toc479184127"/>
      <w:bookmarkStart w:id="119" w:name="_Toc424832832"/>
      <w:bookmarkStart w:id="120" w:name="_Toc360120184"/>
      <w:bookmarkStart w:id="121" w:name="_Toc29904"/>
      <w:bookmarkStart w:id="122" w:name="_Toc22672"/>
      <w:bookmarkStart w:id="123" w:name="_Toc30245"/>
    </w:p>
    <w:p>
      <w:pPr>
        <w:outlineLvl w:val="9"/>
        <w:rPr>
          <w:rFonts w:hint="eastAsia"/>
          <w:lang w:val="en-US" w:eastAsia="zh-CN"/>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17"/>
      <w:bookmarkEnd w:id="118"/>
      <w:bookmarkEnd w:id="119"/>
      <w:bookmarkEnd w:id="120"/>
      <w:bookmarkEnd w:id="121"/>
      <w:bookmarkEnd w:id="122"/>
      <w:bookmarkEnd w:id="123"/>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w:t>
      </w:r>
      <w:r>
        <w:rPr>
          <w:rFonts w:hint="eastAsia" w:asciiTheme="minorEastAsia" w:hAnsiTheme="minorEastAsia" w:eastAsiaTheme="minorEastAsia" w:cstheme="minorEastAsia"/>
          <w:kern w:val="0"/>
          <w:szCs w:val="21"/>
          <w:lang w:eastAsia="zh-CN"/>
        </w:rPr>
        <w:t>谈判</w:t>
      </w:r>
      <w:r>
        <w:rPr>
          <w:rFonts w:hint="eastAsia" w:asciiTheme="minorEastAsia" w:hAnsiTheme="minorEastAsia" w:eastAsiaTheme="minorEastAsia" w:cstheme="minorEastAsia"/>
          <w:kern w:val="0"/>
          <w:szCs w:val="21"/>
        </w:rPr>
        <w:t>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24" w:name="_Toc432149006"/>
      <w:bookmarkStart w:id="125" w:name="_Toc422466732"/>
      <w:r>
        <w:rPr>
          <w:rFonts w:hint="eastAsia" w:asciiTheme="minorEastAsia" w:hAnsiTheme="minorEastAsia" w:eastAsiaTheme="minorEastAsia" w:cstheme="minorEastAsia"/>
          <w:b/>
          <w:bCs/>
          <w:sz w:val="24"/>
        </w:rPr>
        <w:br w:type="page"/>
      </w:r>
      <w:bookmarkStart w:id="126" w:name="_Toc28264"/>
      <w:bookmarkStart w:id="127" w:name="_Toc4741"/>
      <w:bookmarkStart w:id="128" w:name="_Toc4301"/>
      <w:bookmarkStart w:id="129" w:name="_Toc479184128"/>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24"/>
      <w:bookmarkEnd w:id="125"/>
      <w:bookmarkEnd w:id="126"/>
      <w:bookmarkEnd w:id="127"/>
      <w:bookmarkEnd w:id="128"/>
      <w:bookmarkEnd w:id="129"/>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7"/>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pPr>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val="en-US" w:eastAsia="zh-CN"/>
              </w:rPr>
              <w:t xml:space="preserve">有；      </w:t>
            </w:r>
            <w:r>
              <w:rPr>
                <w:rFonts w:hint="default"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如有优惠声明，</w:t>
            </w:r>
            <w:r>
              <w:rPr>
                <w:rFonts w:hint="default" w:asciiTheme="minorEastAsia" w:hAnsiTheme="minorEastAsia" w:eastAsiaTheme="minorEastAsia" w:cstheme="minorEastAsia"/>
                <w:szCs w:val="21"/>
                <w:lang w:val="en-US" w:eastAsia="zh-CN"/>
              </w:rPr>
              <w:t>优惠声明</w:t>
            </w:r>
            <w:r>
              <w:rPr>
                <w:rFonts w:hint="eastAsia" w:asciiTheme="minorEastAsia" w:hAnsiTheme="minorEastAsia" w:eastAsiaTheme="minorEastAsia" w:cstheme="minorEastAsia"/>
                <w:szCs w:val="21"/>
                <w:lang w:val="en-US" w:eastAsia="zh-CN"/>
              </w:rPr>
              <w:t>后的价格必须与竞标报价一致。</w:t>
            </w: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r>
        <w:rPr>
          <w:rFonts w:hint="eastAsia" w:asciiTheme="minorEastAsia" w:hAnsiTheme="minorEastAsia" w:eastAsiaTheme="minorEastAsia" w:cstheme="minorEastAsia"/>
          <w:lang w:val="en-US" w:eastAsia="zh-CN"/>
        </w:rPr>
        <w:t>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1"/>
          <w:lang w:eastAsia="zh-CN"/>
        </w:rPr>
        <w:t>且须</w:t>
      </w:r>
      <w:r>
        <w:rPr>
          <w:rFonts w:hint="eastAsia" w:asciiTheme="minorEastAsia" w:hAnsiTheme="minorEastAsia" w:eastAsiaTheme="minorEastAsia" w:cstheme="minorEastAsia"/>
          <w:szCs w:val="21"/>
        </w:rPr>
        <w:t>精确到</w:t>
      </w:r>
      <w:r>
        <w:rPr>
          <w:rFonts w:hint="eastAsia" w:asciiTheme="minorEastAsia" w:hAnsiTheme="minorEastAsia" w:eastAsiaTheme="minorEastAsia" w:cstheme="minorEastAsia"/>
          <w:szCs w:val="21"/>
          <w:lang w:eastAsia="zh-CN"/>
        </w:rPr>
        <w:t>小数点后两位</w:t>
      </w:r>
      <w:r>
        <w:rPr>
          <w:rFonts w:hint="eastAsia" w:asciiTheme="minorEastAsia" w:hAnsiTheme="minorEastAsia" w:eastAsiaTheme="minorEastAsia" w:cstheme="minorEastAsia"/>
        </w:rPr>
        <w:t>。</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此</w:t>
      </w:r>
      <w:r>
        <w:rPr>
          <w:rFonts w:hint="eastAsia" w:asciiTheme="minorEastAsia" w:hAnsiTheme="minorEastAsia" w:eastAsiaTheme="minorEastAsia" w:cstheme="minorEastAsia"/>
          <w:szCs w:val="21"/>
        </w:rPr>
        <w:t>表仅作为谈判小组了解报价组成情况，不作为最终成交报价。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（3）谈判供应商报价中应包括管理费用、利税等所有费用，为完成合同全部费用。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30" w:name="_Toc460258117"/>
      <w:bookmarkStart w:id="131" w:name="_Toc259028723"/>
      <w:bookmarkStart w:id="132" w:name="_Toc424832831"/>
      <w:bookmarkStart w:id="133" w:name="_Toc432149007"/>
      <w:r>
        <w:rPr>
          <w:rFonts w:hint="eastAsia" w:asciiTheme="minorEastAsia" w:hAnsiTheme="minorEastAsia" w:eastAsiaTheme="minorEastAsia" w:cstheme="minorEastAsia"/>
          <w:b/>
          <w:bCs/>
          <w:sz w:val="24"/>
        </w:rPr>
        <w:br w:type="page"/>
      </w:r>
      <w:bookmarkStart w:id="134" w:name="_Toc18559"/>
      <w:bookmarkStart w:id="135" w:name="_Toc479184129"/>
      <w:bookmarkStart w:id="136" w:name="_Toc1079"/>
      <w:bookmarkStart w:id="137" w:name="_Toc14539"/>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30"/>
      <w:bookmarkEnd w:id="131"/>
      <w:bookmarkEnd w:id="134"/>
      <w:bookmarkEnd w:id="135"/>
      <w:bookmarkEnd w:id="136"/>
      <w:r>
        <w:rPr>
          <w:rFonts w:hint="eastAsia" w:asciiTheme="minorEastAsia" w:hAnsiTheme="minorEastAsia" w:eastAsiaTheme="minorEastAsia" w:cstheme="minorEastAsia"/>
          <w:b/>
          <w:bCs/>
          <w:szCs w:val="21"/>
          <w:lang w:eastAsia="zh-CN"/>
        </w:rPr>
        <w:t>报价费用构成表</w:t>
      </w:r>
      <w:bookmarkEnd w:id="137"/>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38"/>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w:t>
      </w:r>
      <w:r>
        <w:rPr>
          <w:rFonts w:hint="eastAsia" w:asciiTheme="minorEastAsia" w:hAnsiTheme="minorEastAsia" w:eastAsiaTheme="minorEastAsia" w:cstheme="minorEastAsia"/>
          <w:szCs w:val="21"/>
          <w:lang w:eastAsia="zh-CN"/>
        </w:rPr>
        <w:t>且需</w:t>
      </w:r>
      <w:r>
        <w:rPr>
          <w:rFonts w:hint="eastAsia" w:asciiTheme="minorEastAsia" w:hAnsiTheme="minorEastAsia" w:eastAsiaTheme="minorEastAsia" w:cstheme="minorEastAsia"/>
          <w:szCs w:val="21"/>
        </w:rPr>
        <w:t>精确到</w:t>
      </w:r>
      <w:r>
        <w:rPr>
          <w:rFonts w:hint="eastAsia" w:asciiTheme="minorEastAsia" w:hAnsiTheme="minorEastAsia" w:eastAsiaTheme="minorEastAsia" w:cstheme="minorEastAsia"/>
          <w:szCs w:val="21"/>
          <w:lang w:eastAsia="zh-CN"/>
        </w:rPr>
        <w:t>小数点后两位</w:t>
      </w:r>
      <w:r>
        <w:rPr>
          <w:rFonts w:hint="eastAsia" w:asciiTheme="minorEastAsia" w:hAnsiTheme="minorEastAsia" w:eastAsiaTheme="minorEastAsia" w:cstheme="minorEastAsia"/>
          <w:szCs w:val="21"/>
        </w:rPr>
        <w:t>。</w:t>
      </w:r>
    </w:p>
    <w:p>
      <w:pPr>
        <w:numPr>
          <w:ilvl w:val="0"/>
          <w:numId w:val="38"/>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38"/>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谈判</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38" w:name="_Toc28656"/>
      <w:bookmarkStart w:id="139" w:name="_Toc26825"/>
      <w:bookmarkStart w:id="140" w:name="_Toc479184130"/>
      <w:bookmarkStart w:id="141" w:name="_Toc27406"/>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38"/>
      <w:bookmarkEnd w:id="139"/>
      <w:bookmarkEnd w:id="140"/>
      <w:r>
        <w:rPr>
          <w:rFonts w:hint="eastAsia" w:asciiTheme="minorEastAsia" w:hAnsiTheme="minorEastAsia" w:eastAsiaTheme="minorEastAsia" w:cstheme="minorEastAsia"/>
          <w:b/>
          <w:bCs/>
          <w:szCs w:val="21"/>
        </w:rPr>
        <w:t>（如有）</w:t>
      </w:r>
      <w:bookmarkEnd w:id="141"/>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42" w:name="_Toc479184131"/>
      <w:bookmarkStart w:id="143" w:name="_Toc7535"/>
      <w:bookmarkStart w:id="144" w:name="_Toc16493"/>
      <w:bookmarkStart w:id="145" w:name="_Toc32726"/>
      <w:r>
        <w:rPr>
          <w:rFonts w:hint="eastAsia" w:asciiTheme="minorEastAsia" w:hAnsiTheme="minorEastAsia" w:eastAsiaTheme="minorEastAsia" w:cstheme="minorEastAsia"/>
          <w:b/>
          <w:bCs/>
          <w:szCs w:val="21"/>
          <w:lang w:val="en-US" w:eastAsia="zh-CN"/>
        </w:rPr>
        <w:t>八、</w:t>
      </w:r>
      <w:bookmarkEnd w:id="142"/>
      <w:bookmarkEnd w:id="143"/>
      <w:bookmarkEnd w:id="144"/>
      <w:bookmarkEnd w:id="145"/>
      <w:r>
        <w:rPr>
          <w:rFonts w:hint="eastAsia" w:asciiTheme="minorEastAsia" w:hAnsiTheme="minorEastAsia" w:eastAsiaTheme="minorEastAsia" w:cstheme="minorEastAsia"/>
          <w:b/>
          <w:bCs/>
          <w:szCs w:val="21"/>
          <w:lang w:val="en-US" w:eastAsia="zh-CN"/>
        </w:rPr>
        <w:t>类似业绩一览表</w:t>
      </w:r>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谈判</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提供业绩合同等相关</w:t>
      </w:r>
      <w:r>
        <w:rPr>
          <w:rFonts w:hint="eastAsia" w:asciiTheme="minorEastAsia" w:hAnsiTheme="minorEastAsia" w:eastAsiaTheme="minorEastAsia" w:cstheme="minorEastAsia"/>
          <w:szCs w:val="21"/>
        </w:rPr>
        <w:t>证明材料。 无证明材料的内容评审时将不予考虑。</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3.经查实存在虚假信息（服务单位联系人与实际不符或合同金额不符等）将被取消资格。</w:t>
      </w:r>
    </w:p>
    <w:p>
      <w:pPr>
        <w:spacing w:line="360" w:lineRule="auto"/>
        <w:rPr>
          <w:rFonts w:hint="eastAsia" w:asciiTheme="minorEastAsia" w:hAnsiTheme="minorEastAsia" w:eastAsiaTheme="minorEastAsia" w:cstheme="minorEastAsia"/>
          <w:szCs w:val="21"/>
          <w:lang w:eastAsia="zh-CN"/>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46" w:name="_Toc27053"/>
      <w:bookmarkStart w:id="147" w:name="_Toc10449"/>
      <w:bookmarkStart w:id="148" w:name="_Toc479184132"/>
      <w:bookmarkStart w:id="149" w:name="_Toc450827818"/>
      <w:bookmarkStart w:id="150" w:name="_Toc23178"/>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46"/>
      <w:bookmarkEnd w:id="147"/>
      <w:bookmarkEnd w:id="148"/>
      <w:bookmarkEnd w:id="149"/>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50"/>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32"/>
    <w:bookmarkEnd w:id="133"/>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51" w:name="_Toc432149012"/>
      <w:bookmarkStart w:id="152" w:name="_Toc24954"/>
      <w:bookmarkStart w:id="153" w:name="_Toc28200"/>
      <w:bookmarkStart w:id="154" w:name="_Toc422466736"/>
      <w:bookmarkStart w:id="155" w:name="_Toc479184133"/>
      <w:bookmarkStart w:id="156" w:name="_Toc1591"/>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51"/>
      <w:bookmarkEnd w:id="152"/>
      <w:bookmarkEnd w:id="153"/>
      <w:bookmarkEnd w:id="154"/>
      <w:bookmarkEnd w:id="155"/>
      <w:bookmarkEnd w:id="156"/>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39"/>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采购文件的各项要求，逐条说明竞争性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响应文件做出的实质性响应，并申明竞争性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响应文件的偏离和例外。优于竞争性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采购文件要求的为正偏离，不满足的为负偏离。</w:t>
      </w:r>
    </w:p>
    <w:p>
      <w:pPr>
        <w:numPr>
          <w:ilvl w:val="7"/>
          <w:numId w:val="39"/>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供应商必须提供所投产品的具体参数值。如果仅注明“符合”，“满足”或简单复制竞争性</w:t>
      </w: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57" w:name="_Toc422466737"/>
      <w:bookmarkStart w:id="158" w:name="_Toc26838"/>
      <w:bookmarkStart w:id="159" w:name="_Toc8453"/>
      <w:bookmarkStart w:id="160" w:name="_Toc479184136"/>
      <w:bookmarkStart w:id="161" w:name="_Toc432149014"/>
      <w:bookmarkStart w:id="162" w:name="_Toc10429"/>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eastAsia="zh-CN"/>
        </w:rPr>
        <w:t>一</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57"/>
      <w:bookmarkEnd w:id="158"/>
      <w:bookmarkEnd w:id="159"/>
      <w:bookmarkEnd w:id="160"/>
      <w:bookmarkEnd w:id="161"/>
      <w:bookmarkEnd w:id="162"/>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63" w:name="_Toc17331"/>
      <w:bookmarkStart w:id="164" w:name="_Toc17527"/>
      <w:bookmarkStart w:id="165" w:name="_Toc10437"/>
      <w:bookmarkStart w:id="166" w:name="_Toc479184137"/>
      <w:bookmarkStart w:id="167" w:name="_Toc259028731"/>
      <w:bookmarkStart w:id="168" w:name="_Toc450827823"/>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63"/>
      <w:bookmarkEnd w:id="164"/>
      <w:bookmarkEnd w:id="165"/>
      <w:bookmarkEnd w:id="166"/>
      <w:bookmarkEnd w:id="167"/>
      <w:bookmarkEnd w:id="168"/>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真彩扫描件，详见第二章供应商须知前附表14.1条款内容。</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1"/>
        <w:rPr>
          <w:rFonts w:hint="eastAsia" w:asciiTheme="minorEastAsia" w:hAnsiTheme="minorEastAsia" w:eastAsiaTheme="minorEastAsia" w:cstheme="minorEastAsia"/>
          <w:bCs/>
          <w:szCs w:val="21"/>
          <w:lang w:eastAsia="zh-CN"/>
        </w:rPr>
      </w:pPr>
      <w:bookmarkStart w:id="169" w:name="_Toc364868916"/>
      <w:bookmarkStart w:id="170" w:name="_Toc5793"/>
      <w:bookmarkStart w:id="171" w:name="_Toc358447587"/>
      <w:bookmarkStart w:id="172" w:name="_Toc427239751"/>
      <w:bookmarkStart w:id="173" w:name="_Toc18555"/>
      <w:bookmarkStart w:id="174" w:name="_Toc32187"/>
      <w:bookmarkStart w:id="175" w:name="_Toc290207179"/>
      <w:bookmarkStart w:id="176" w:name="_Toc13326"/>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360" w:lineRule="auto"/>
        <w:ind w:left="168" w:leftChars="80"/>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val="en-US" w:eastAsia="zh-CN"/>
        </w:rPr>
        <w:t>十三、</w:t>
      </w:r>
      <w:bookmarkEnd w:id="169"/>
      <w:bookmarkEnd w:id="170"/>
      <w:bookmarkEnd w:id="171"/>
      <w:bookmarkEnd w:id="172"/>
      <w:bookmarkEnd w:id="173"/>
      <w:bookmarkEnd w:id="174"/>
      <w:bookmarkEnd w:id="175"/>
      <w:bookmarkStart w:id="177" w:name="_Toc479184138"/>
      <w:bookmarkStart w:id="178" w:name="_Toc27229"/>
      <w:bookmarkStart w:id="179" w:name="_Toc29785"/>
      <w:bookmarkStart w:id="180" w:name="_Toc460258123"/>
      <w:r>
        <w:rPr>
          <w:rFonts w:hint="eastAsia" w:asciiTheme="minorEastAsia" w:hAnsiTheme="minorEastAsia" w:eastAsiaTheme="minorEastAsia" w:cstheme="minorEastAsia"/>
          <w:b/>
        </w:rPr>
        <w:t>报价技术文件</w:t>
      </w:r>
      <w:bookmarkEnd w:id="176"/>
      <w:bookmarkEnd w:id="177"/>
      <w:bookmarkEnd w:id="178"/>
      <w:bookmarkEnd w:id="179"/>
      <w:bookmarkEnd w:id="180"/>
    </w:p>
    <w:p>
      <w:pPr>
        <w:rPr>
          <w:rFonts w:hint="eastAsia" w:asciiTheme="minorEastAsia" w:hAnsiTheme="minorEastAsia" w:eastAsiaTheme="minorEastAsia" w:cstheme="minorEastAsia"/>
          <w:szCs w:val="21"/>
        </w:rPr>
      </w:pPr>
    </w:p>
    <w:p>
      <w:pPr>
        <w:pStyle w:val="98"/>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0"/>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lang w:val="en-US" w:eastAsia="zh-CN"/>
        </w:rPr>
      </w:pPr>
      <w:bookmarkStart w:id="181" w:name="_Toc422466739"/>
      <w:bookmarkStart w:id="182" w:name="_Toc479184140"/>
      <w:bookmarkStart w:id="183" w:name="_Toc22465"/>
      <w:bookmarkStart w:id="184" w:name="_Toc355802499"/>
      <w:bookmarkStart w:id="185" w:name="_Toc8098"/>
      <w:bookmarkStart w:id="186" w:name="_Toc356836516"/>
      <w:bookmarkStart w:id="187" w:name="_Toc12119"/>
      <w:bookmarkStart w:id="188" w:name="_Toc2101"/>
      <w:bookmarkStart w:id="189" w:name="_Toc432149016"/>
      <w:bookmarkStart w:id="190" w:name="_Toc2435"/>
      <w:r>
        <w:rPr>
          <w:rFonts w:hint="eastAsia" w:asciiTheme="minorEastAsia" w:hAnsiTheme="minorEastAsia" w:eastAsiaTheme="minorEastAsia" w:cstheme="minorEastAsia"/>
          <w:b/>
          <w:bCs/>
          <w:kern w:val="0"/>
          <w:szCs w:val="21"/>
          <w:lang w:val="en-US" w:eastAsia="zh-CN"/>
        </w:rPr>
        <w:t>十四、</w:t>
      </w:r>
      <w:bookmarkEnd w:id="181"/>
      <w:bookmarkEnd w:id="182"/>
      <w:bookmarkEnd w:id="183"/>
      <w:bookmarkEnd w:id="184"/>
      <w:bookmarkEnd w:id="185"/>
      <w:bookmarkEnd w:id="186"/>
      <w:bookmarkEnd w:id="187"/>
      <w:bookmarkEnd w:id="188"/>
      <w:bookmarkEnd w:id="189"/>
      <w:r>
        <w:rPr>
          <w:rFonts w:hint="eastAsia" w:asciiTheme="minorEastAsia" w:hAnsiTheme="minorEastAsia" w:eastAsiaTheme="minorEastAsia" w:cstheme="minorEastAsia"/>
          <w:b/>
          <w:bCs/>
          <w:kern w:val="0"/>
          <w:szCs w:val="21"/>
          <w:lang w:val="zh-CN" w:eastAsia="zh-CN"/>
        </w:rPr>
        <w:t>中小企业声明函（工程、服务）（若符合）</w:t>
      </w:r>
      <w:bookmarkEnd w:id="190"/>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本公司（联合体）郑重声明，</w:t>
      </w:r>
      <w:r>
        <w:rPr>
          <w:rFonts w:hint="eastAsia" w:ascii="宋体" w:hAnsi="宋体" w:eastAsia="宋体" w:cs="宋体"/>
          <w:color w:val="auto"/>
          <w:sz w:val="21"/>
          <w:szCs w:val="21"/>
          <w:highlight w:val="none"/>
        </w:rPr>
        <w:t>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（单位名称）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（项目名称）</w:t>
      </w:r>
      <w:r>
        <w:rPr>
          <w:rFonts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（标的名称）</w:t>
      </w:r>
      <w:r>
        <w:rPr>
          <w:rFonts w:ascii="宋体" w:hAnsi="宋体" w:eastAsia="宋体" w:cs="宋体"/>
          <w:color w:val="auto"/>
          <w:sz w:val="21"/>
          <w:szCs w:val="21"/>
          <w:highlight w:val="none"/>
        </w:rPr>
        <w:t xml:space="preserve"> ，属于</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（采购文件中明确的所属行业）</w:t>
      </w:r>
      <w:r>
        <w:rPr>
          <w:rFonts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rPr>
        <w:t>承建（承接）企业为</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（标的名称）</w:t>
      </w:r>
      <w:r>
        <w:rPr>
          <w:rFonts w:ascii="宋体" w:hAnsi="宋体" w:eastAsia="宋体" w:cs="宋体"/>
          <w:color w:val="auto"/>
          <w:sz w:val="21"/>
          <w:szCs w:val="21"/>
          <w:highlight w:val="none"/>
        </w:rPr>
        <w:t xml:space="preserve"> ，属于</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（采购文件中明确的所属行业）</w:t>
      </w:r>
      <w:r>
        <w:rPr>
          <w:rFonts w:ascii="宋体" w:hAnsi="宋体" w:eastAsia="宋体" w:cs="宋体"/>
          <w:color w:val="auto"/>
          <w:sz w:val="21"/>
          <w:szCs w:val="21"/>
          <w:highlight w:val="none"/>
        </w:rPr>
        <w:t>行业；</w:t>
      </w:r>
      <w:r>
        <w:rPr>
          <w:rFonts w:hint="eastAsia" w:ascii="宋体" w:hAnsi="宋体" w:eastAsia="宋体" w:cs="宋体"/>
          <w:color w:val="auto"/>
          <w:sz w:val="21"/>
          <w:szCs w:val="21"/>
          <w:highlight w:val="none"/>
        </w:rPr>
        <w:t>承建（承接）企业为</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pPr>
        <w:spacing w:line="360" w:lineRule="auto"/>
        <w:ind w:firstLine="420" w:firstLineChars="200"/>
        <w:rPr>
          <w:rFonts w:ascii="宋体" w:hAnsi="宋体" w:eastAsia="宋体" w:cs="宋体"/>
          <w:sz w:val="21"/>
          <w:szCs w:val="21"/>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本企业对上述声明内容的真实性负责。如有虚假，将依法承担相应责任</w:t>
      </w:r>
      <w:r>
        <w:rPr>
          <w:rFonts w:ascii="宋体" w:hAnsi="宋体" w:eastAsia="宋体" w:cs="宋体"/>
          <w:sz w:val="21"/>
          <w:szCs w:val="21"/>
        </w:rPr>
        <w:t xml:space="preserve">。 </w:t>
      </w:r>
    </w:p>
    <w:p>
      <w:pPr>
        <w:spacing w:line="360" w:lineRule="auto"/>
        <w:ind w:firstLine="6930" w:firstLineChars="3300"/>
        <w:jc w:val="both"/>
        <w:rPr>
          <w:rFonts w:ascii="宋体" w:hAnsi="宋体" w:eastAsia="宋体" w:cs="宋体"/>
          <w:sz w:val="21"/>
          <w:szCs w:val="21"/>
        </w:rPr>
      </w:pPr>
      <w:r>
        <w:rPr>
          <w:rFonts w:ascii="宋体" w:hAnsi="宋体" w:eastAsia="宋体" w:cs="宋体"/>
          <w:sz w:val="21"/>
          <w:szCs w:val="21"/>
        </w:rPr>
        <w:t xml:space="preserve">企业名称（盖章）： </w:t>
      </w:r>
    </w:p>
    <w:p>
      <w:pPr>
        <w:spacing w:line="360" w:lineRule="auto"/>
        <w:ind w:firstLine="420" w:firstLineChars="200"/>
        <w:jc w:val="center"/>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ascii="宋体" w:hAnsi="宋体" w:eastAsia="宋体" w:cs="宋体"/>
          <w:sz w:val="21"/>
          <w:szCs w:val="21"/>
        </w:rPr>
        <w:t>日 期：</w:t>
      </w:r>
    </w:p>
    <w:p>
      <w:pPr>
        <w:spacing w:line="360" w:lineRule="auto"/>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bookmarkEnd w:id="104"/>
      <w:bookmarkEnd w:id="105"/>
      <w:bookmarkEnd w:id="106"/>
      <w:bookmarkEnd w:id="107"/>
      <w:bookmarkStart w:id="191" w:name="_Toc7229"/>
      <w:bookmarkStart w:id="192" w:name="_Toc479184141"/>
      <w:bookmarkStart w:id="193" w:name="_Toc476839034"/>
      <w:bookmarkStart w:id="194" w:name="_Toc30406"/>
      <w:bookmarkStart w:id="195" w:name="_Toc4320"/>
    </w:p>
    <w:p>
      <w:pPr>
        <w:autoSpaceDE w:val="0"/>
        <w:autoSpaceDN w:val="0"/>
        <w:adjustRightInd w:val="0"/>
        <w:jc w:val="right"/>
        <w:rPr>
          <w:rFonts w:hint="eastAsia" w:asciiTheme="minorEastAsia" w:hAnsiTheme="minorEastAsia" w:eastAsiaTheme="minorEastAsia" w:cstheme="minorEastAsia"/>
          <w:b/>
          <w:bCs/>
          <w:lang w:val="zh-CN"/>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lang w:val="zh-CN"/>
        </w:rPr>
      </w:pPr>
      <w:bookmarkStart w:id="196" w:name="_Toc18022"/>
      <w:r>
        <w:rPr>
          <w:rFonts w:hint="eastAsia" w:asciiTheme="minorEastAsia" w:hAnsiTheme="minorEastAsia" w:eastAsiaTheme="minorEastAsia" w:cstheme="minorEastAsia"/>
          <w:b/>
          <w:bCs/>
          <w:kern w:val="0"/>
          <w:szCs w:val="21"/>
          <w:lang w:val="zh-CN"/>
        </w:rPr>
        <w:t>十五、监狱企业证明文</w:t>
      </w:r>
      <w:r>
        <w:rPr>
          <w:rFonts w:hint="eastAsia" w:asciiTheme="minorEastAsia" w:hAnsiTheme="minorEastAsia" w:eastAsiaTheme="minorEastAsia" w:cstheme="minorEastAsia"/>
          <w:b/>
          <w:bCs/>
          <w:kern w:val="0"/>
          <w:szCs w:val="21"/>
        </w:rPr>
        <w:t>件</w:t>
      </w:r>
      <w:r>
        <w:rPr>
          <w:rFonts w:hint="eastAsia" w:asciiTheme="minorEastAsia" w:hAnsiTheme="minorEastAsia" w:eastAsiaTheme="minorEastAsia" w:cstheme="minorEastAsia"/>
          <w:b/>
          <w:bCs/>
          <w:kern w:val="0"/>
          <w:szCs w:val="21"/>
          <w:lang w:val="zh-CN"/>
        </w:rPr>
        <w:t>（若</w:t>
      </w:r>
      <w:r>
        <w:rPr>
          <w:rFonts w:hint="eastAsia" w:asciiTheme="minorEastAsia" w:hAnsiTheme="minorEastAsia" w:eastAsiaTheme="minorEastAsia" w:cstheme="minorEastAsia"/>
          <w:b/>
          <w:bCs/>
          <w:kern w:val="0"/>
          <w:szCs w:val="21"/>
          <w:lang w:val="en-US" w:eastAsia="zh-CN"/>
        </w:rPr>
        <w:t>符合</w:t>
      </w:r>
      <w:r>
        <w:rPr>
          <w:rFonts w:hint="eastAsia" w:asciiTheme="minorEastAsia" w:hAnsiTheme="minorEastAsia" w:eastAsiaTheme="minorEastAsia" w:cstheme="minorEastAsia"/>
          <w:b/>
          <w:bCs/>
          <w:kern w:val="0"/>
          <w:szCs w:val="21"/>
          <w:lang w:val="zh-CN"/>
        </w:rPr>
        <w:t>）</w:t>
      </w:r>
      <w:bookmarkEnd w:id="196"/>
    </w:p>
    <w:p>
      <w:pPr>
        <w:numPr>
          <w:ilvl w:val="0"/>
          <w:numId w:val="0"/>
        </w:numPr>
        <w:adjustRightInd w:val="0"/>
        <w:snapToGrid w:val="0"/>
        <w:ind w:leftChars="0"/>
        <w:jc w:val="both"/>
        <w:outlineLvl w:val="9"/>
        <w:rPr>
          <w:rFonts w:hint="eastAsia" w:asciiTheme="minorEastAsia" w:hAnsiTheme="minorEastAsia" w:eastAsiaTheme="minorEastAsia" w:cstheme="minorEastAsia"/>
          <w:spacing w:val="6"/>
          <w:szCs w:val="21"/>
          <w:lang w:eastAsia="zh-CN"/>
        </w:rPr>
      </w:pPr>
    </w:p>
    <w:p>
      <w:pPr>
        <w:pStyle w:val="4"/>
        <w:rPr>
          <w:rFonts w:hint="eastAsia"/>
          <w:lang w:eastAsia="zh-CN"/>
        </w:rPr>
      </w:pPr>
    </w:p>
    <w:p>
      <w:pPr>
        <w:numPr>
          <w:ilvl w:val="0"/>
          <w:numId w:val="0"/>
        </w:numPr>
        <w:adjustRightInd w:val="0"/>
        <w:snapToGrid w:val="0"/>
        <w:ind w:leftChars="0"/>
        <w:jc w:val="both"/>
        <w:outlineLvl w:val="9"/>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rPr>
        <w:t>供应商如是监狱企业，提供相关证明文件。</w:t>
      </w:r>
    </w:p>
    <w:p>
      <w:pPr>
        <w:pStyle w:val="4"/>
        <w:rPr>
          <w:rFonts w:hint="eastAsia"/>
          <w:lang w:eastAsia="zh-CN"/>
        </w:rPr>
      </w:pPr>
    </w:p>
    <w:p>
      <w:pPr>
        <w:numPr>
          <w:ilvl w:val="0"/>
          <w:numId w:val="0"/>
        </w:numPr>
        <w:adjustRightInd w:val="0"/>
        <w:snapToGrid w:val="0"/>
        <w:ind w:leftChars="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szCs w:val="21"/>
        </w:rPr>
        <w:t>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CN"/>
        </w:rPr>
        <w:t>谈判</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center"/>
        <w:outlineLvl w:val="1"/>
        <w:rPr>
          <w:rFonts w:hint="eastAsia" w:asciiTheme="minorEastAsia" w:hAnsiTheme="minorEastAsia" w:eastAsiaTheme="minorEastAsia" w:cstheme="minorEastAsia"/>
          <w:b/>
          <w:bCs/>
          <w:kern w:val="0"/>
          <w:szCs w:val="21"/>
          <w:lang w:val="en-US" w:eastAsia="zh-CN"/>
        </w:rPr>
      </w:pPr>
      <w:bookmarkStart w:id="197" w:name="_Toc11877"/>
    </w:p>
    <w:p>
      <w:pPr>
        <w:numPr>
          <w:ilvl w:val="0"/>
          <w:numId w:val="0"/>
        </w:numPr>
        <w:adjustRightInd w:val="0"/>
        <w:snapToGrid w:val="0"/>
        <w:jc w:val="center"/>
        <w:outlineLvl w:val="1"/>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en-US" w:eastAsia="zh-CN"/>
        </w:rPr>
        <w:t>十六</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kern w:val="0"/>
          <w:szCs w:val="21"/>
          <w:lang w:val="zh-CN"/>
        </w:rPr>
        <w:t>残疾人福利性单位声明函（若</w:t>
      </w:r>
      <w:r>
        <w:rPr>
          <w:rFonts w:hint="eastAsia" w:asciiTheme="minorEastAsia" w:hAnsiTheme="minorEastAsia" w:eastAsiaTheme="minorEastAsia" w:cstheme="minorEastAsia"/>
          <w:b/>
          <w:bCs/>
          <w:kern w:val="0"/>
          <w:szCs w:val="21"/>
          <w:lang w:val="en-US" w:eastAsia="zh-CN"/>
        </w:rPr>
        <w:t>符合</w:t>
      </w:r>
      <w:r>
        <w:rPr>
          <w:rFonts w:hint="eastAsia" w:asciiTheme="minorEastAsia" w:hAnsiTheme="minorEastAsia" w:eastAsiaTheme="minorEastAsia" w:cstheme="minorEastAsia"/>
          <w:b/>
          <w:bCs/>
          <w:kern w:val="0"/>
          <w:szCs w:val="21"/>
          <w:lang w:val="zh-CN"/>
        </w:rPr>
        <w:t>）</w:t>
      </w:r>
      <w:bookmarkEnd w:id="197"/>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5"/>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5"/>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5"/>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谈判供应商法定代表人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谈判供应商授权代表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谈判供应商名称（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1"/>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1"/>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1"/>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w:t>
      </w:r>
      <w:r>
        <w:rPr>
          <w:rFonts w:hint="eastAsia" w:asciiTheme="minorEastAsia" w:hAnsiTheme="minorEastAsia" w:eastAsiaTheme="minorEastAsia" w:cstheme="minorEastAsia"/>
          <w:b w:val="0"/>
          <w:bCs w:val="0"/>
          <w:color w:val="auto"/>
          <w:szCs w:val="21"/>
          <w:lang w:val="zh-CN"/>
        </w:rPr>
        <w:t>费；</w:t>
      </w:r>
    </w:p>
    <w:p>
      <w:pPr>
        <w:numPr>
          <w:ilvl w:val="0"/>
          <w:numId w:val="41"/>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通过银行等金融机构向安置的每位残疾人，按月支付了不低于单位所在区县适用的经省级人民政府批准的月最低工资标准的工资；</w:t>
      </w:r>
    </w:p>
    <w:p>
      <w:pPr>
        <w:numPr>
          <w:ilvl w:val="0"/>
          <w:numId w:val="41"/>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color w:val="auto"/>
          <w:szCs w:val="21"/>
          <w:u w:val="single"/>
        </w:rPr>
      </w:pPr>
      <w:bookmarkStart w:id="198" w:name="_Toc22306"/>
      <w:r>
        <w:rPr>
          <w:rFonts w:hint="eastAsia" w:asciiTheme="minorEastAsia" w:hAnsiTheme="minorEastAsia" w:eastAsiaTheme="minorEastAsia" w:cstheme="minorEastAsia"/>
          <w:b/>
          <w:color w:val="auto"/>
          <w:lang w:val="en-US" w:eastAsia="zh-CN"/>
        </w:rPr>
        <w:t>十七、节能环保产品证明材料（若符合）</w:t>
      </w:r>
      <w:bookmarkEnd w:id="198"/>
    </w:p>
    <w:p>
      <w:pPr>
        <w:adjustRightInd w:val="0"/>
        <w:snapToGrid w:val="0"/>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项目编号：</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节能产品：</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环保产品：</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注</w:t>
      </w:r>
      <w:r>
        <w:rPr>
          <w:rFonts w:hint="eastAsia" w:asciiTheme="minorEastAsia" w:hAnsiTheme="minorEastAsia" w:eastAsiaTheme="minorEastAsia" w:cstheme="minorEastAsia"/>
          <w:color w:val="auto"/>
          <w:szCs w:val="21"/>
        </w:rPr>
        <w:t>：供应商所提供产品如为节能环保产品，则应按本</w:t>
      </w:r>
      <w:r>
        <w:rPr>
          <w:rFonts w:hint="eastAsia" w:asciiTheme="minorEastAsia" w:hAnsiTheme="minorEastAsia" w:eastAsiaTheme="minorEastAsia" w:cstheme="minorEastAsia"/>
          <w:color w:val="auto"/>
          <w:szCs w:val="21"/>
          <w:lang w:eastAsia="zh-CN"/>
        </w:rPr>
        <w:t>谈判</w:t>
      </w:r>
      <w:r>
        <w:rPr>
          <w:rFonts w:hint="eastAsia" w:asciiTheme="minorEastAsia" w:hAnsiTheme="minorEastAsia" w:eastAsiaTheme="minorEastAsia" w:cstheme="minorEastAsia"/>
          <w:color w:val="auto"/>
          <w:szCs w:val="21"/>
        </w:rPr>
        <w:t>文件第</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政策支持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提供相关证明材料，并将节能、环保产品分别列入上表中，未填写本表或未提供有效认证证书的不给予价格扣除。</w:t>
      </w:r>
    </w:p>
    <w:p>
      <w:pPr>
        <w:pStyle w:val="4"/>
        <w:rPr>
          <w:rFonts w:hint="eastAsia"/>
          <w:lang w:eastAsia="zh-CN"/>
        </w:rPr>
      </w:pPr>
    </w:p>
    <w:p>
      <w:pPr>
        <w:pStyle w:val="4"/>
        <w:rPr>
          <w:rFonts w:hint="eastAsia"/>
          <w:lang w:eastAsia="zh-CN"/>
        </w:rPr>
      </w:pP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谈判供应商授权代表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谈判供应商名称（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lang w:eastAsia="zh-CN"/>
        </w:rPr>
      </w:pPr>
    </w:p>
    <w:p>
      <w:pPr>
        <w:pStyle w:val="4"/>
        <w:rPr>
          <w:rFonts w:hint="eastAsia"/>
          <w:lang w:eastAsia="zh-CN"/>
        </w:rPr>
      </w:pPr>
    </w:p>
    <w:p>
      <w:pPr>
        <w:adjustRightInd w:val="0"/>
        <w:snapToGrid w:val="0"/>
        <w:spacing w:line="360" w:lineRule="auto"/>
        <w:jc w:val="center"/>
        <w:outlineLvl w:val="1"/>
        <w:rPr>
          <w:rFonts w:hint="eastAsia" w:asciiTheme="minorEastAsia" w:hAnsiTheme="minorEastAsia" w:eastAsiaTheme="minorEastAsia" w:cstheme="minorEastAsia"/>
          <w:b/>
          <w:color w:val="auto"/>
        </w:rPr>
      </w:pPr>
      <w:bookmarkStart w:id="199" w:name="_Toc17583"/>
      <w:r>
        <w:rPr>
          <w:rFonts w:hint="eastAsia" w:asciiTheme="minorEastAsia" w:hAnsiTheme="minorEastAsia" w:eastAsiaTheme="minorEastAsia" w:cstheme="minorEastAsia"/>
          <w:b/>
          <w:bCs/>
          <w:color w:val="auto"/>
          <w:spacing w:val="6"/>
          <w:szCs w:val="21"/>
          <w:lang w:val="en-US" w:eastAsia="zh-CN"/>
        </w:rPr>
        <w:t>十八</w:t>
      </w:r>
      <w:r>
        <w:rPr>
          <w:rFonts w:hint="eastAsia" w:asciiTheme="minorEastAsia" w:hAnsiTheme="minorEastAsia" w:eastAsiaTheme="minorEastAsia" w:cstheme="minorEastAsia"/>
          <w:b/>
          <w:bCs/>
          <w:color w:val="auto"/>
          <w:spacing w:val="6"/>
          <w:szCs w:val="21"/>
        </w:rPr>
        <w:t>、</w:t>
      </w:r>
      <w:r>
        <w:rPr>
          <w:rFonts w:hint="eastAsia" w:asciiTheme="minorEastAsia" w:hAnsiTheme="minorEastAsia" w:eastAsiaTheme="minorEastAsia" w:cstheme="minorEastAsia"/>
          <w:b/>
          <w:color w:val="auto"/>
        </w:rPr>
        <w:t>无重大违法记录声明</w:t>
      </w:r>
      <w:bookmarkEnd w:id="191"/>
      <w:bookmarkEnd w:id="192"/>
      <w:bookmarkEnd w:id="193"/>
      <w:bookmarkEnd w:id="194"/>
      <w:bookmarkEnd w:id="195"/>
      <w:bookmarkEnd w:id="199"/>
    </w:p>
    <w:p>
      <w:pPr>
        <w:spacing w:line="480" w:lineRule="auto"/>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（谈判</w:t>
      </w:r>
      <w:r>
        <w:rPr>
          <w:rFonts w:hint="eastAsia" w:asciiTheme="minorEastAsia" w:hAnsiTheme="minorEastAsia" w:eastAsiaTheme="minorEastAsia" w:cstheme="minorEastAsia"/>
          <w:b/>
          <w:bCs/>
          <w:color w:val="auto"/>
          <w:kern w:val="0"/>
          <w:sz w:val="24"/>
        </w:rPr>
        <w:t>供应商应</w:t>
      </w:r>
      <w:r>
        <w:rPr>
          <w:rFonts w:hint="eastAsia" w:asciiTheme="minorEastAsia" w:hAnsiTheme="minorEastAsia" w:eastAsiaTheme="minorEastAsia" w:cstheme="minorEastAsia"/>
          <w:b/>
          <w:bCs/>
          <w:color w:val="auto"/>
          <w:kern w:val="0"/>
          <w:sz w:val="24"/>
          <w:lang w:val="en-US" w:eastAsia="zh-CN"/>
        </w:rPr>
        <w:t>在此基础上，</w:t>
      </w:r>
      <w:r>
        <w:rPr>
          <w:rFonts w:hint="eastAsia" w:asciiTheme="minorEastAsia" w:hAnsiTheme="minorEastAsia" w:eastAsiaTheme="minorEastAsia" w:cstheme="minorEastAsia"/>
          <w:b/>
          <w:bCs/>
          <w:color w:val="auto"/>
          <w:kern w:val="0"/>
          <w:sz w:val="24"/>
        </w:rPr>
        <w:t>根据本单位实际情况进行声明</w:t>
      </w:r>
      <w:r>
        <w:rPr>
          <w:rFonts w:hint="eastAsia" w:asciiTheme="minorEastAsia" w:hAnsiTheme="minorEastAsia" w:eastAsiaTheme="minorEastAsia" w:cstheme="minorEastAsia"/>
          <w:b/>
          <w:bCs/>
          <w:color w:val="auto"/>
          <w:kern w:val="0"/>
          <w:sz w:val="24"/>
          <w:lang w:eastAsia="zh-CN"/>
        </w:rPr>
        <w:t>）</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采购人和采购代理机构：</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我方在此声明，我方在参加本</w:t>
      </w:r>
      <w:r>
        <w:rPr>
          <w:rFonts w:hint="eastAsia" w:asciiTheme="minorEastAsia" w:hAnsiTheme="minorEastAsia" w:eastAsiaTheme="minorEastAsia" w:cstheme="minorEastAsia"/>
          <w:color w:val="auto"/>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color w:val="auto"/>
          <w:kern w:val="0"/>
          <w:szCs w:val="21"/>
          <w:shd w:val="clear" w:color="auto" w:fill="FFFFFF"/>
          <w:lang w:val="en-US" w:eastAsia="zh-CN"/>
        </w:rPr>
      </w:pPr>
      <w:r>
        <w:rPr>
          <w:rFonts w:hint="eastAsia" w:asciiTheme="minorEastAsia" w:hAnsiTheme="minorEastAsia" w:eastAsiaTheme="minorEastAsia" w:cstheme="minorEastAsia"/>
          <w:color w:val="auto"/>
          <w:kern w:val="0"/>
          <w:szCs w:val="21"/>
          <w:shd w:val="clear" w:color="auto" w:fill="FFFFFF"/>
        </w:rPr>
        <w:t>3.我方因违法经营被处以较大数额罚款等行政处罚</w:t>
      </w:r>
      <w:r>
        <w:rPr>
          <w:rFonts w:hint="eastAsia" w:asciiTheme="minorEastAsia" w:hAnsiTheme="minorEastAsia" w:eastAsiaTheme="minorEastAsia" w:cstheme="minorEastAsia"/>
          <w:color w:val="auto"/>
          <w:kern w:val="0"/>
          <w:szCs w:val="21"/>
          <w:shd w:val="clear" w:color="auto" w:fill="FFFFFF"/>
          <w:lang w:val="en-US" w:eastAsia="zh-CN"/>
        </w:rPr>
        <w:t>；</w:t>
      </w:r>
    </w:p>
    <w:p>
      <w:pPr>
        <w:spacing w:line="48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kern w:val="0"/>
          <w:szCs w:val="21"/>
          <w:shd w:val="clear" w:color="auto" w:fill="FFFFFF"/>
          <w:lang w:val="en-US" w:eastAsia="zh-CN"/>
        </w:rPr>
        <w:t>4.不良经济纠纷记录和违法行为。</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特此声明！</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谈判供应商法定代表人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谈判供应商授权代表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谈判供应商名称（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autoSpaceDE w:val="0"/>
        <w:autoSpaceDN w:val="0"/>
        <w:adjustRightInd w:val="0"/>
        <w:jc w:val="center"/>
        <w:rPr>
          <w:rFonts w:hint="eastAsia" w:asciiTheme="minorEastAsia" w:hAnsiTheme="minorEastAsia" w:eastAsiaTheme="minorEastAsia" w:cstheme="minorEastAsia"/>
          <w:color w:val="auto"/>
          <w:szCs w:val="21"/>
        </w:rPr>
      </w:pPr>
    </w:p>
    <w:p>
      <w:pPr>
        <w:ind w:firstLine="444" w:firstLineChars="200"/>
        <w:rPr>
          <w:rFonts w:hint="eastAsia" w:asciiTheme="minorEastAsia" w:hAnsiTheme="minorEastAsia" w:eastAsiaTheme="minorEastAsia" w:cstheme="minorEastAsia"/>
          <w:color w:val="auto"/>
          <w:spacing w:val="6"/>
          <w:szCs w:val="21"/>
          <w:lang w:eastAsia="zh-CN"/>
        </w:rPr>
      </w:pPr>
      <w:r>
        <w:rPr>
          <w:rFonts w:hint="eastAsia" w:asciiTheme="minorEastAsia" w:hAnsiTheme="minorEastAsia" w:eastAsiaTheme="minorEastAsia" w:cstheme="minorEastAsia"/>
          <w:color w:val="auto"/>
          <w:spacing w:val="6"/>
          <w:szCs w:val="21"/>
        </w:rPr>
        <w:t xml:space="preserve">        </w:t>
      </w:r>
    </w:p>
    <w:p>
      <w:pPr>
        <w:pStyle w:val="4"/>
        <w:rPr>
          <w:rFonts w:hint="eastAsia"/>
          <w:lang w:eastAsia="zh-CN"/>
        </w:rPr>
      </w:pPr>
    </w:p>
    <w:p>
      <w:pPr>
        <w:pStyle w:val="4"/>
        <w:rPr>
          <w:rFonts w:hint="eastAsia"/>
          <w:lang w:eastAsia="zh-CN"/>
        </w:rPr>
      </w:pPr>
    </w:p>
    <w:p>
      <w:pPr>
        <w:pStyle w:val="4"/>
        <w:rPr>
          <w:rFonts w:hint="eastAsia"/>
          <w:lang w:eastAsia="zh-CN"/>
        </w:rPr>
      </w:pPr>
    </w:p>
    <w:p>
      <w:pPr>
        <w:jc w:val="center"/>
        <w:outlineLvl w:val="1"/>
        <w:rPr>
          <w:rFonts w:hint="eastAsia" w:asciiTheme="minorEastAsia" w:hAnsiTheme="minorEastAsia" w:eastAsiaTheme="minorEastAsia" w:cstheme="minorEastAsia"/>
          <w:b/>
          <w:bCs/>
          <w:color w:val="auto"/>
          <w:kern w:val="0"/>
          <w:szCs w:val="21"/>
          <w:shd w:val="clear" w:color="auto" w:fill="FFFFFF"/>
          <w:lang w:val="en-US" w:eastAsia="zh-CN"/>
        </w:rPr>
      </w:pPr>
      <w:bookmarkStart w:id="200" w:name="_Toc26351"/>
    </w:p>
    <w:p>
      <w:pPr>
        <w:jc w:val="center"/>
        <w:outlineLvl w:val="1"/>
        <w:rPr>
          <w:rFonts w:hint="eastAsia" w:asciiTheme="minorEastAsia" w:hAnsiTheme="minorEastAsia" w:eastAsiaTheme="minorEastAsia" w:cstheme="minorEastAsia"/>
          <w:b/>
          <w:bCs/>
          <w:color w:val="auto"/>
          <w:kern w:val="0"/>
          <w:szCs w:val="21"/>
          <w:shd w:val="clear" w:color="auto" w:fill="FFFFFF"/>
          <w:lang w:eastAsia="zh-CN"/>
        </w:rPr>
      </w:pPr>
      <w:r>
        <w:rPr>
          <w:rFonts w:hint="eastAsia" w:asciiTheme="minorEastAsia" w:hAnsiTheme="minorEastAsia" w:eastAsiaTheme="minorEastAsia" w:cstheme="minorEastAsia"/>
          <w:b/>
          <w:bCs/>
          <w:color w:val="auto"/>
          <w:kern w:val="0"/>
          <w:szCs w:val="21"/>
          <w:shd w:val="clear" w:color="auto" w:fill="FFFFFF"/>
          <w:lang w:val="en-US" w:eastAsia="zh-CN"/>
        </w:rPr>
        <w:t>十九</w:t>
      </w:r>
      <w:r>
        <w:rPr>
          <w:rFonts w:hint="eastAsia" w:asciiTheme="minorEastAsia" w:hAnsiTheme="minorEastAsia" w:eastAsiaTheme="minorEastAsia" w:cstheme="minorEastAsia"/>
          <w:b/>
          <w:bCs/>
          <w:color w:val="auto"/>
          <w:kern w:val="0"/>
          <w:szCs w:val="21"/>
          <w:shd w:val="clear" w:color="auto" w:fill="FFFFFF"/>
        </w:rPr>
        <w:t>、</w:t>
      </w:r>
      <w:r>
        <w:rPr>
          <w:rFonts w:hint="eastAsia" w:asciiTheme="minorEastAsia" w:hAnsiTheme="minorEastAsia" w:eastAsiaTheme="minorEastAsia" w:cstheme="minorEastAsia"/>
          <w:b/>
          <w:bCs/>
          <w:color w:val="auto"/>
          <w:kern w:val="0"/>
          <w:szCs w:val="21"/>
          <w:shd w:val="clear" w:color="auto" w:fill="FFFFFF"/>
          <w:lang w:eastAsia="zh-CN"/>
        </w:rPr>
        <w:t>谈判</w:t>
      </w:r>
      <w:r>
        <w:rPr>
          <w:rFonts w:hint="eastAsia" w:asciiTheme="minorEastAsia" w:hAnsiTheme="minorEastAsia" w:eastAsiaTheme="minorEastAsia" w:cstheme="minorEastAsia"/>
          <w:b/>
          <w:bCs/>
          <w:color w:val="auto"/>
          <w:kern w:val="0"/>
          <w:szCs w:val="21"/>
          <w:shd w:val="clear" w:color="auto" w:fill="FFFFFF"/>
        </w:rPr>
        <w:t>供应商认为应该提交的其它文件（格式自拟）</w:t>
      </w:r>
      <w:bookmarkEnd w:id="200"/>
    </w:p>
    <w:p>
      <w:pPr>
        <w:pStyle w:val="4"/>
        <w:rPr>
          <w:rFonts w:hint="eastAsia"/>
          <w:lang w:eastAsia="zh-CN"/>
        </w:rPr>
      </w:pPr>
    </w:p>
    <w:p>
      <w:pPr>
        <w:pStyle w:val="4"/>
        <w:rPr>
          <w:rFonts w:hint="eastAsia"/>
          <w:lang w:eastAsia="zh-CN"/>
        </w:rPr>
      </w:pPr>
    </w:p>
    <w:tbl>
      <w:tblPr>
        <w:tblStyle w:val="27"/>
        <w:tblW w:w="9982" w:type="dxa"/>
        <w:tblInd w:w="-466" w:type="dxa"/>
        <w:shd w:val="clear" w:color="auto" w:fill="auto"/>
        <w:tblLayout w:type="fixed"/>
        <w:tblCellMar>
          <w:top w:w="0" w:type="dxa"/>
          <w:left w:w="0" w:type="dxa"/>
          <w:bottom w:w="0" w:type="dxa"/>
          <w:right w:w="0" w:type="dxa"/>
        </w:tblCellMar>
      </w:tblPr>
      <w:tblGrid>
        <w:gridCol w:w="1165"/>
        <w:gridCol w:w="664"/>
        <w:gridCol w:w="761"/>
        <w:gridCol w:w="818"/>
        <w:gridCol w:w="666"/>
        <w:gridCol w:w="783"/>
        <w:gridCol w:w="781"/>
        <w:gridCol w:w="658"/>
        <w:gridCol w:w="767"/>
        <w:gridCol w:w="746"/>
        <w:gridCol w:w="794"/>
        <w:gridCol w:w="686"/>
        <w:gridCol w:w="693"/>
      </w:tblGrid>
      <w:tr>
        <w:tblPrEx>
          <w:shd w:val="clear" w:color="auto" w:fill="auto"/>
          <w:tblCellMar>
            <w:top w:w="0" w:type="dxa"/>
            <w:left w:w="0" w:type="dxa"/>
            <w:bottom w:w="0" w:type="dxa"/>
            <w:right w:w="0" w:type="dxa"/>
          </w:tblCellMar>
        </w:tblPrEx>
        <w:trPr>
          <w:trHeight w:val="720" w:hRule="atLeast"/>
          <w:tblHeader/>
        </w:trPr>
        <w:tc>
          <w:tcPr>
            <w:tcW w:w="9982"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40"/>
                <w:szCs w:val="40"/>
                <w:u w:val="none"/>
              </w:rPr>
            </w:pPr>
            <w:r>
              <w:rPr>
                <w:rFonts w:hint="eastAsia" w:ascii="黑体" w:hAnsi="宋体" w:eastAsia="黑体" w:cs="黑体"/>
                <w:b/>
                <w:i w:val="0"/>
                <w:color w:val="auto"/>
                <w:kern w:val="0"/>
                <w:sz w:val="40"/>
                <w:szCs w:val="40"/>
                <w:u w:val="none"/>
                <w:lang w:val="en-US" w:eastAsia="zh-CN" w:bidi="ar"/>
              </w:rPr>
              <w:t>中小企业划型标准规定（工信部联企业[2011]300号）</w:t>
            </w:r>
          </w:p>
        </w:tc>
      </w:tr>
      <w:tr>
        <w:tblPrEx>
          <w:shd w:val="clear" w:color="auto" w:fill="auto"/>
          <w:tblCellMar>
            <w:top w:w="0" w:type="dxa"/>
            <w:left w:w="0" w:type="dxa"/>
            <w:bottom w:w="0" w:type="dxa"/>
            <w:right w:w="0" w:type="dxa"/>
          </w:tblCellMar>
        </w:tblPrEx>
        <w:trPr>
          <w:trHeight w:val="270" w:hRule="atLeast"/>
          <w:tblHeader/>
        </w:trPr>
        <w:tc>
          <w:tcPr>
            <w:tcW w:w="1165"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行业</w:t>
            </w:r>
          </w:p>
        </w:tc>
        <w:tc>
          <w:tcPr>
            <w:tcW w:w="2243"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中小微型企业（</w:t>
            </w:r>
            <w:r>
              <w:rPr>
                <w:rFonts w:hint="eastAsia" w:ascii="宋体" w:hAnsi="宋体" w:eastAsia="宋体" w:cs="宋体"/>
                <w:b/>
                <w:i w:val="0"/>
                <w:color w:val="auto"/>
                <w:kern w:val="0"/>
                <w:sz w:val="21"/>
                <w:szCs w:val="21"/>
                <w:u w:val="none"/>
                <w:lang w:val="en-US" w:eastAsia="zh-CN" w:bidi="ar"/>
              </w:rPr>
              <w:t>或</w:t>
            </w:r>
            <w:r>
              <w:rPr>
                <w:rFonts w:hint="eastAsia" w:ascii="宋体" w:hAnsi="宋体" w:eastAsia="宋体" w:cs="宋体"/>
                <w:i w:val="0"/>
                <w:color w:val="auto"/>
                <w:kern w:val="0"/>
                <w:sz w:val="21"/>
                <w:szCs w:val="21"/>
                <w:u w:val="none"/>
                <w:lang w:val="en-US" w:eastAsia="zh-CN" w:bidi="ar"/>
              </w:rPr>
              <w:t>）</w:t>
            </w:r>
          </w:p>
        </w:tc>
        <w:tc>
          <w:tcPr>
            <w:tcW w:w="2230"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中型企业（</w:t>
            </w:r>
            <w:r>
              <w:rPr>
                <w:rFonts w:hint="eastAsia" w:ascii="宋体" w:hAnsi="宋体" w:eastAsia="宋体" w:cs="宋体"/>
                <w:b/>
                <w:i w:val="0"/>
                <w:color w:val="auto"/>
                <w:kern w:val="0"/>
                <w:sz w:val="21"/>
                <w:szCs w:val="21"/>
                <w:u w:val="none"/>
                <w:lang w:val="en-US" w:eastAsia="zh-CN" w:bidi="ar"/>
              </w:rPr>
              <w:t>且</w:t>
            </w:r>
            <w:r>
              <w:rPr>
                <w:rFonts w:hint="eastAsia" w:ascii="宋体" w:hAnsi="宋体" w:eastAsia="宋体" w:cs="宋体"/>
                <w:i w:val="0"/>
                <w:color w:val="auto"/>
                <w:kern w:val="0"/>
                <w:sz w:val="21"/>
                <w:szCs w:val="21"/>
                <w:u w:val="none"/>
                <w:lang w:val="en-US" w:eastAsia="zh-CN" w:bidi="ar"/>
              </w:rPr>
              <w:t>）</w:t>
            </w:r>
          </w:p>
        </w:tc>
        <w:tc>
          <w:tcPr>
            <w:tcW w:w="2171"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小型企业（</w:t>
            </w:r>
            <w:r>
              <w:rPr>
                <w:rFonts w:hint="eastAsia" w:ascii="宋体" w:hAnsi="宋体" w:eastAsia="宋体" w:cs="宋体"/>
                <w:b/>
                <w:i w:val="0"/>
                <w:color w:val="auto"/>
                <w:kern w:val="0"/>
                <w:sz w:val="21"/>
                <w:szCs w:val="21"/>
                <w:u w:val="none"/>
                <w:lang w:val="en-US" w:eastAsia="zh-CN" w:bidi="ar"/>
              </w:rPr>
              <w:t>且</w:t>
            </w:r>
            <w:r>
              <w:rPr>
                <w:rFonts w:hint="eastAsia" w:ascii="宋体" w:hAnsi="宋体" w:eastAsia="宋体" w:cs="宋体"/>
                <w:i w:val="0"/>
                <w:color w:val="auto"/>
                <w:kern w:val="0"/>
                <w:sz w:val="21"/>
                <w:szCs w:val="21"/>
                <w:u w:val="none"/>
                <w:lang w:val="en-US" w:eastAsia="zh-CN" w:bidi="ar"/>
              </w:rPr>
              <w:t>）</w:t>
            </w:r>
          </w:p>
        </w:tc>
        <w:tc>
          <w:tcPr>
            <w:tcW w:w="2173"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微型企业（</w:t>
            </w:r>
            <w:r>
              <w:rPr>
                <w:rFonts w:hint="eastAsia" w:ascii="宋体" w:hAnsi="宋体" w:eastAsia="宋体" w:cs="宋体"/>
                <w:b/>
                <w:i w:val="0"/>
                <w:color w:val="auto"/>
                <w:kern w:val="0"/>
                <w:sz w:val="21"/>
                <w:szCs w:val="21"/>
                <w:u w:val="none"/>
                <w:lang w:val="en-US" w:eastAsia="zh-CN" w:bidi="ar"/>
              </w:rPr>
              <w:t>或</w:t>
            </w:r>
            <w:r>
              <w:rPr>
                <w:rFonts w:hint="eastAsia" w:ascii="宋体" w:hAnsi="宋体" w:eastAsia="宋体" w:cs="宋体"/>
                <w:i w:val="0"/>
                <w:color w:val="auto"/>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70" w:hRule="atLeast"/>
          <w:tblHeader/>
        </w:trPr>
        <w:tc>
          <w:tcPr>
            <w:tcW w:w="1165"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从业人员</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营业收入</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资产总额</w:t>
            </w: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农、林、牧、渔业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工业（包括采矿业，制造业，电力、热力、燃气及水生产和供应业）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80000万元以下</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300万元及以上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300万元以下</w:t>
            </w: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批发业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零售业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交通运输业（不含铁路运输业）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仓储业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邮政业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住宿业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餐饮业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信息传输业（包括电信、互联网和相关服务）</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软件和信息技术服务业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房地产开发经营</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200000万元以下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5000万元及以上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2000万元及以上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2000万元以下</w:t>
            </w: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物业管理</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5000万元以下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1000万元及以上</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500万元及以上</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500万元以下</w:t>
            </w: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420" w:hRule="atLeast"/>
        </w:trPr>
        <w:tc>
          <w:tcPr>
            <w:tcW w:w="116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租赁和商务服务业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120000万元以下</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8000万元及以上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100万元及以上</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9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100万元以下</w:t>
            </w:r>
          </w:p>
        </w:tc>
      </w:tr>
      <w:tr>
        <w:tblPrEx>
          <w:shd w:val="clear" w:color="auto" w:fill="auto"/>
          <w:tblCellMar>
            <w:top w:w="0" w:type="dxa"/>
            <w:left w:w="0" w:type="dxa"/>
            <w:bottom w:w="0" w:type="dxa"/>
            <w:right w:w="0" w:type="dxa"/>
          </w:tblCellMar>
        </w:tblPrEx>
        <w:trPr>
          <w:trHeight w:val="1065" w:hRule="atLeast"/>
        </w:trPr>
        <w:tc>
          <w:tcPr>
            <w:tcW w:w="116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其他未列明行业（包括科学研究和技术服务业，水利、环境和公共设施管理业，居民服务、修理和其他服务业，社会工作，文化、体育和娱乐业等）</w:t>
            </w:r>
          </w:p>
        </w:tc>
        <w:tc>
          <w:tcPr>
            <w:tcW w:w="6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300人以下</w:t>
            </w:r>
          </w:p>
        </w:tc>
        <w:tc>
          <w:tcPr>
            <w:tcW w:w="7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81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6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100人及以上</w:t>
            </w:r>
          </w:p>
        </w:tc>
        <w:tc>
          <w:tcPr>
            <w:tcW w:w="78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8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5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10人及以上</w:t>
            </w:r>
          </w:p>
        </w:tc>
        <w:tc>
          <w:tcPr>
            <w:tcW w:w="76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4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79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10人以下</w:t>
            </w:r>
          </w:p>
        </w:tc>
        <w:tc>
          <w:tcPr>
            <w:tcW w:w="68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c>
          <w:tcPr>
            <w:tcW w:w="69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270" w:hRule="atLeast"/>
        </w:trPr>
        <w:tc>
          <w:tcPr>
            <w:tcW w:w="9982" w:type="dxa"/>
            <w:gridSpan w:val="13"/>
            <w:tcBorders>
              <w:top w:val="nil"/>
              <w:left w:val="nil"/>
              <w:bottom w:val="nil"/>
              <w:right w:val="nil"/>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本规定适用于在中华人民共和国境内依法设立的各类所有制和各种组织形式的企业。</w:t>
            </w:r>
            <w:r>
              <w:rPr>
                <w:rFonts w:hint="eastAsia" w:ascii="宋体" w:hAnsi="宋体" w:eastAsia="宋体" w:cs="宋体"/>
                <w:b/>
                <w:i w:val="0"/>
                <w:color w:val="auto"/>
                <w:kern w:val="0"/>
                <w:sz w:val="21"/>
                <w:szCs w:val="21"/>
                <w:u w:val="none"/>
                <w:lang w:val="en-US" w:eastAsia="zh-CN" w:bidi="ar"/>
              </w:rPr>
              <w:t>个体工商户</w:t>
            </w:r>
            <w:r>
              <w:rPr>
                <w:rFonts w:hint="eastAsia" w:ascii="宋体" w:hAnsi="宋体" w:eastAsia="宋体" w:cs="宋体"/>
                <w:i w:val="0"/>
                <w:color w:val="auto"/>
                <w:kern w:val="0"/>
                <w:sz w:val="21"/>
                <w:szCs w:val="21"/>
                <w:u w:val="none"/>
                <w:lang w:val="en-US" w:eastAsia="zh-CN" w:bidi="ar"/>
              </w:rPr>
              <w:t>和本规定以外的行业，参照本规定进行划型。</w:t>
            </w:r>
          </w:p>
        </w:tc>
      </w:tr>
      <w:tr>
        <w:tblPrEx>
          <w:shd w:val="clear" w:color="auto" w:fill="auto"/>
          <w:tblCellMar>
            <w:top w:w="0" w:type="dxa"/>
            <w:left w:w="0" w:type="dxa"/>
            <w:bottom w:w="0" w:type="dxa"/>
            <w:right w:w="0" w:type="dxa"/>
          </w:tblCellMar>
        </w:tblPrEx>
        <w:trPr>
          <w:trHeight w:val="270" w:hRule="atLeast"/>
        </w:trPr>
        <w:tc>
          <w:tcPr>
            <w:tcW w:w="9982" w:type="dxa"/>
            <w:gridSpan w:val="13"/>
            <w:tcBorders>
              <w:top w:val="nil"/>
              <w:left w:val="nil"/>
              <w:bottom w:val="nil"/>
              <w:right w:val="nil"/>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本规定的中型企业标准上限即为大型企业标准的下限，国家统计部门据此制定大中小微型企业的统计分类。国务院有关部门据此进行相关数据分析，不得制定与本规定不一致的企业划型标准。</w:t>
            </w:r>
          </w:p>
        </w:tc>
      </w:tr>
    </w:tbl>
    <w:p>
      <w:pPr>
        <w:jc w:val="center"/>
        <w:outlineLvl w:val="1"/>
        <w:rPr>
          <w:rFonts w:hint="eastAsia" w:asciiTheme="minorEastAsia" w:hAnsiTheme="minorEastAsia" w:eastAsiaTheme="minorEastAsia" w:cstheme="minorEastAsia"/>
          <w:color w:val="auto"/>
          <w:spacing w:val="6"/>
          <w:szCs w:val="21"/>
        </w:rPr>
      </w:pPr>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46</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7216;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AD9E3"/>
    <w:multiLevelType w:val="singleLevel"/>
    <w:tmpl w:val="D7AAD9E3"/>
    <w:lvl w:ilvl="0" w:tentative="0">
      <w:start w:val="1"/>
      <w:numFmt w:val="decimal"/>
      <w:suff w:val="space"/>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
    <w:nsid w:val="044F5BAD"/>
    <w:multiLevelType w:val="singleLevel"/>
    <w:tmpl w:val="044F5BAD"/>
    <w:lvl w:ilvl="0" w:tentative="0">
      <w:start w:val="1"/>
      <w:numFmt w:val="decimal"/>
      <w:suff w:val="nothing"/>
      <w:lvlText w:val="（%1）"/>
      <w:lvlJc w:val="left"/>
    </w:lvl>
  </w:abstractNum>
  <w:abstractNum w:abstractNumId="4">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5907297"/>
    <w:multiLevelType w:val="multilevel"/>
    <w:tmpl w:val="15907297"/>
    <w:lvl w:ilvl="0" w:tentative="0">
      <w:start w:val="1"/>
      <w:numFmt w:val="decimal"/>
      <w:pStyle w:val="80"/>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2"/>
      <w:lvlText w:val="%1.%2.%3"/>
      <w:lvlJc w:val="left"/>
      <w:pPr>
        <w:tabs>
          <w:tab w:val="left" w:pos="720"/>
        </w:tabs>
        <w:ind w:left="720" w:hanging="153"/>
      </w:pPr>
      <w:rPr>
        <w:rFonts w:hint="eastAsia"/>
      </w:rPr>
    </w:lvl>
    <w:lvl w:ilvl="3" w:tentative="0">
      <w:start w:val="1"/>
      <w:numFmt w:val="decimal"/>
      <w:pStyle w:val="79"/>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4">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5">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6"/>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9">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3">
    <w:nsid w:val="4B331C36"/>
    <w:multiLevelType w:val="multilevel"/>
    <w:tmpl w:val="4B331C36"/>
    <w:lvl w:ilvl="0" w:tentative="0">
      <w:start w:val="1"/>
      <w:numFmt w:val="japaneseCounting"/>
      <w:pStyle w:val="91"/>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7">
    <w:nsid w:val="57063C4C"/>
    <w:multiLevelType w:val="singleLevel"/>
    <w:tmpl w:val="57063C4C"/>
    <w:lvl w:ilvl="0" w:tentative="0">
      <w:start w:val="1"/>
      <w:numFmt w:val="decimal"/>
      <w:suff w:val="nothing"/>
      <w:lvlText w:val="%1．"/>
      <w:lvlJc w:val="left"/>
      <w:pPr>
        <w:ind w:left="0" w:firstLine="400"/>
      </w:pPr>
      <w:rPr>
        <w:rFonts w:hint="default"/>
      </w:rPr>
    </w:lvl>
  </w:abstractNum>
  <w:abstractNum w:abstractNumId="28">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1">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3">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7"/>
      <w:suff w:val="nothing"/>
      <w:lvlText w:val="%1%2.%3　"/>
      <w:lvlJc w:val="left"/>
      <w:pPr>
        <w:ind w:left="720" w:firstLine="0"/>
      </w:pPr>
      <w:rPr>
        <w:rFonts w:hint="eastAsia" w:ascii="黑体" w:hAnsi="Times New Roman" w:eastAsia="黑体"/>
        <w:b w:val="0"/>
        <w:i w:val="0"/>
        <w:sz w:val="21"/>
      </w:rPr>
    </w:lvl>
    <w:lvl w:ilvl="3" w:tentative="0">
      <w:start w:val="1"/>
      <w:numFmt w:val="decimal"/>
      <w:pStyle w:val="76"/>
      <w:suff w:val="nothing"/>
      <w:lvlText w:val="%1%2.4.%4　"/>
      <w:lvlJc w:val="left"/>
      <w:pPr>
        <w:ind w:left="420" w:firstLine="0"/>
      </w:pPr>
      <w:rPr>
        <w:rFonts w:hint="eastAsia" w:ascii="黑体" w:hAnsi="Times New Roman" w:eastAsia="黑体"/>
        <w:b w:val="0"/>
        <w:i w:val="0"/>
        <w:sz w:val="21"/>
      </w:rPr>
    </w:lvl>
    <w:lvl w:ilvl="4" w:tentative="0">
      <w:start w:val="1"/>
      <w:numFmt w:val="decimal"/>
      <w:pStyle w:val="83"/>
      <w:suff w:val="nothing"/>
      <w:lvlText w:val="5.%12.5.%5　"/>
      <w:lvlJc w:val="left"/>
      <w:pPr>
        <w:ind w:left="42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5">
    <w:nsid w:val="6F351E13"/>
    <w:multiLevelType w:val="multilevel"/>
    <w:tmpl w:val="6F351E13"/>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3"/>
  </w:num>
  <w:num w:numId="2">
    <w:abstractNumId w:val="9"/>
  </w:num>
  <w:num w:numId="3">
    <w:abstractNumId w:val="15"/>
  </w:num>
  <w:num w:numId="4">
    <w:abstractNumId w:val="23"/>
  </w:num>
  <w:num w:numId="5">
    <w:abstractNumId w:val="11"/>
  </w:num>
  <w:num w:numId="6">
    <w:abstractNumId w:val="27"/>
  </w:num>
  <w:num w:numId="7">
    <w:abstractNumId w:val="7"/>
  </w:num>
  <w:num w:numId="8">
    <w:abstractNumId w:val="12"/>
  </w:num>
  <w:num w:numId="9">
    <w:abstractNumId w:val="29"/>
  </w:num>
  <w:num w:numId="10">
    <w:abstractNumId w:val="39"/>
  </w:num>
  <w:num w:numId="11">
    <w:abstractNumId w:val="40"/>
  </w:num>
  <w:num w:numId="12">
    <w:abstractNumId w:val="22"/>
  </w:num>
  <w:num w:numId="13">
    <w:abstractNumId w:val="25"/>
  </w:num>
  <w:num w:numId="14">
    <w:abstractNumId w:val="28"/>
  </w:num>
  <w:num w:numId="15">
    <w:abstractNumId w:val="30"/>
  </w:num>
  <w:num w:numId="16">
    <w:abstractNumId w:val="2"/>
  </w:num>
  <w:num w:numId="17">
    <w:abstractNumId w:val="32"/>
  </w:num>
  <w:num w:numId="18">
    <w:abstractNumId w:val="4"/>
  </w:num>
  <w:num w:numId="19">
    <w:abstractNumId w:val="20"/>
  </w:num>
  <w:num w:numId="20">
    <w:abstractNumId w:val="17"/>
  </w:num>
  <w:num w:numId="21">
    <w:abstractNumId w:val="36"/>
  </w:num>
  <w:num w:numId="22">
    <w:abstractNumId w:val="10"/>
  </w:num>
  <w:num w:numId="23">
    <w:abstractNumId w:val="21"/>
  </w:num>
  <w:num w:numId="24">
    <w:abstractNumId w:val="6"/>
  </w:num>
  <w:num w:numId="25">
    <w:abstractNumId w:val="34"/>
  </w:num>
  <w:num w:numId="26">
    <w:abstractNumId w:val="38"/>
  </w:num>
  <w:num w:numId="27">
    <w:abstractNumId w:val="24"/>
  </w:num>
  <w:num w:numId="28">
    <w:abstractNumId w:val="19"/>
  </w:num>
  <w:num w:numId="29">
    <w:abstractNumId w:val="8"/>
  </w:num>
  <w:num w:numId="30">
    <w:abstractNumId w:val="16"/>
  </w:num>
  <w:num w:numId="31">
    <w:abstractNumId w:val="37"/>
  </w:num>
  <w:num w:numId="32">
    <w:abstractNumId w:val="0"/>
  </w:num>
  <w:num w:numId="33">
    <w:abstractNumId w:val="31"/>
  </w:num>
  <w:num w:numId="34">
    <w:abstractNumId w:val="35"/>
  </w:num>
  <w:num w:numId="35">
    <w:abstractNumId w:val="13"/>
  </w:num>
  <w:num w:numId="36">
    <w:abstractNumId w:val="26"/>
  </w:num>
  <w:num w:numId="37">
    <w:abstractNumId w:val="1"/>
  </w:num>
  <w:num w:numId="38">
    <w:abstractNumId w:val="14"/>
  </w:num>
  <w:num w:numId="39">
    <w:abstractNumId w:val="18"/>
  </w:num>
  <w:num w:numId="40">
    <w:abstractNumId w:val="5"/>
  </w:num>
  <w:num w:numId="4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DhhNWJiYzQxYjg2Nzc5NTIxOGZkMTJmMDJlNDMifQ=="/>
  </w:docVars>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69E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1F3B"/>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147B66"/>
    <w:rsid w:val="01461ACD"/>
    <w:rsid w:val="018D0205"/>
    <w:rsid w:val="01C12A88"/>
    <w:rsid w:val="01D07706"/>
    <w:rsid w:val="01D23876"/>
    <w:rsid w:val="0221271C"/>
    <w:rsid w:val="022D649C"/>
    <w:rsid w:val="02351774"/>
    <w:rsid w:val="023A6ECB"/>
    <w:rsid w:val="02420646"/>
    <w:rsid w:val="02597D87"/>
    <w:rsid w:val="028176EB"/>
    <w:rsid w:val="028223A8"/>
    <w:rsid w:val="02A9706C"/>
    <w:rsid w:val="02BE17A3"/>
    <w:rsid w:val="02C42998"/>
    <w:rsid w:val="02DE374B"/>
    <w:rsid w:val="02F254D6"/>
    <w:rsid w:val="031C3B9E"/>
    <w:rsid w:val="031C67BA"/>
    <w:rsid w:val="033B56D0"/>
    <w:rsid w:val="03511571"/>
    <w:rsid w:val="035E37BC"/>
    <w:rsid w:val="03A25185"/>
    <w:rsid w:val="03A92E0C"/>
    <w:rsid w:val="03A93F07"/>
    <w:rsid w:val="03C2028E"/>
    <w:rsid w:val="03CB2AE6"/>
    <w:rsid w:val="03D61106"/>
    <w:rsid w:val="03DD17F0"/>
    <w:rsid w:val="03F730D5"/>
    <w:rsid w:val="040E4213"/>
    <w:rsid w:val="04137380"/>
    <w:rsid w:val="04160294"/>
    <w:rsid w:val="041E0D15"/>
    <w:rsid w:val="0421064D"/>
    <w:rsid w:val="0424709F"/>
    <w:rsid w:val="04273734"/>
    <w:rsid w:val="042C6AE4"/>
    <w:rsid w:val="0439748C"/>
    <w:rsid w:val="04663DEE"/>
    <w:rsid w:val="048B6224"/>
    <w:rsid w:val="049C3EF3"/>
    <w:rsid w:val="04A13706"/>
    <w:rsid w:val="04BC1BA0"/>
    <w:rsid w:val="04CC4566"/>
    <w:rsid w:val="04FD23FC"/>
    <w:rsid w:val="05005426"/>
    <w:rsid w:val="055A38B5"/>
    <w:rsid w:val="05832E1B"/>
    <w:rsid w:val="059C5F8E"/>
    <w:rsid w:val="05AD5736"/>
    <w:rsid w:val="05CA2818"/>
    <w:rsid w:val="05FA06DD"/>
    <w:rsid w:val="06023A8F"/>
    <w:rsid w:val="0611621E"/>
    <w:rsid w:val="063F258E"/>
    <w:rsid w:val="065044F8"/>
    <w:rsid w:val="0653482B"/>
    <w:rsid w:val="06995A22"/>
    <w:rsid w:val="06B536AA"/>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945C5"/>
    <w:rsid w:val="07DA2552"/>
    <w:rsid w:val="07E61182"/>
    <w:rsid w:val="07E620C7"/>
    <w:rsid w:val="07F876CF"/>
    <w:rsid w:val="07FA3FC0"/>
    <w:rsid w:val="08376BE0"/>
    <w:rsid w:val="08483779"/>
    <w:rsid w:val="085D5FC0"/>
    <w:rsid w:val="0886626A"/>
    <w:rsid w:val="08912C45"/>
    <w:rsid w:val="08A50ECF"/>
    <w:rsid w:val="08AD0CF8"/>
    <w:rsid w:val="08AD503B"/>
    <w:rsid w:val="08C76CFD"/>
    <w:rsid w:val="08E340CC"/>
    <w:rsid w:val="08E95B0E"/>
    <w:rsid w:val="09064595"/>
    <w:rsid w:val="090C54BE"/>
    <w:rsid w:val="092936B1"/>
    <w:rsid w:val="093329E3"/>
    <w:rsid w:val="096A4BCE"/>
    <w:rsid w:val="096D4061"/>
    <w:rsid w:val="098226D8"/>
    <w:rsid w:val="09894939"/>
    <w:rsid w:val="09A02CD8"/>
    <w:rsid w:val="09B94550"/>
    <w:rsid w:val="09CB628F"/>
    <w:rsid w:val="0A165448"/>
    <w:rsid w:val="0A2B6751"/>
    <w:rsid w:val="0A502EA2"/>
    <w:rsid w:val="0A5758F7"/>
    <w:rsid w:val="0A67144A"/>
    <w:rsid w:val="0A71618F"/>
    <w:rsid w:val="0A7E1671"/>
    <w:rsid w:val="0AC16F66"/>
    <w:rsid w:val="0B435CD5"/>
    <w:rsid w:val="0B456825"/>
    <w:rsid w:val="0B4839AF"/>
    <w:rsid w:val="0B4B17AC"/>
    <w:rsid w:val="0B4F5787"/>
    <w:rsid w:val="0B625354"/>
    <w:rsid w:val="0B6438A9"/>
    <w:rsid w:val="0BC22757"/>
    <w:rsid w:val="0BD0342B"/>
    <w:rsid w:val="0BE3070D"/>
    <w:rsid w:val="0C367BBD"/>
    <w:rsid w:val="0C3C4113"/>
    <w:rsid w:val="0C4225D4"/>
    <w:rsid w:val="0C49239C"/>
    <w:rsid w:val="0C4E57C8"/>
    <w:rsid w:val="0C7336D0"/>
    <w:rsid w:val="0C8252F9"/>
    <w:rsid w:val="0CAF3726"/>
    <w:rsid w:val="0CC36F40"/>
    <w:rsid w:val="0CF02600"/>
    <w:rsid w:val="0CF10149"/>
    <w:rsid w:val="0CFA68BB"/>
    <w:rsid w:val="0D0F0D92"/>
    <w:rsid w:val="0D162766"/>
    <w:rsid w:val="0D50445B"/>
    <w:rsid w:val="0D7807F1"/>
    <w:rsid w:val="0D895A46"/>
    <w:rsid w:val="0D9B67EB"/>
    <w:rsid w:val="0DE86CEC"/>
    <w:rsid w:val="0E0A51BD"/>
    <w:rsid w:val="0E141CA7"/>
    <w:rsid w:val="0E386D2E"/>
    <w:rsid w:val="0E442D5B"/>
    <w:rsid w:val="0E4E7B59"/>
    <w:rsid w:val="0E6E5960"/>
    <w:rsid w:val="0E942C83"/>
    <w:rsid w:val="0EAE4301"/>
    <w:rsid w:val="0ED27024"/>
    <w:rsid w:val="0ED94F19"/>
    <w:rsid w:val="0EDC5EDB"/>
    <w:rsid w:val="0F1B0DB7"/>
    <w:rsid w:val="0F3425BB"/>
    <w:rsid w:val="0F6C7EA7"/>
    <w:rsid w:val="0F9F39DA"/>
    <w:rsid w:val="0FA03F81"/>
    <w:rsid w:val="0FAA4B6E"/>
    <w:rsid w:val="0FC5121F"/>
    <w:rsid w:val="0FC52200"/>
    <w:rsid w:val="0FC57219"/>
    <w:rsid w:val="0FF11896"/>
    <w:rsid w:val="0FF743B8"/>
    <w:rsid w:val="104114BC"/>
    <w:rsid w:val="1045384C"/>
    <w:rsid w:val="104F21E7"/>
    <w:rsid w:val="10681B45"/>
    <w:rsid w:val="10D545EB"/>
    <w:rsid w:val="10E51E7E"/>
    <w:rsid w:val="1109548A"/>
    <w:rsid w:val="11156035"/>
    <w:rsid w:val="111F2499"/>
    <w:rsid w:val="11296D36"/>
    <w:rsid w:val="1146103D"/>
    <w:rsid w:val="116C7384"/>
    <w:rsid w:val="119D0F49"/>
    <w:rsid w:val="11A248C6"/>
    <w:rsid w:val="12305D0B"/>
    <w:rsid w:val="124E705D"/>
    <w:rsid w:val="12595354"/>
    <w:rsid w:val="12676ACE"/>
    <w:rsid w:val="128C79F5"/>
    <w:rsid w:val="12987FD1"/>
    <w:rsid w:val="12D57C7C"/>
    <w:rsid w:val="12DE2F04"/>
    <w:rsid w:val="12F453F7"/>
    <w:rsid w:val="135A65CD"/>
    <w:rsid w:val="13681291"/>
    <w:rsid w:val="13876AD4"/>
    <w:rsid w:val="139A72A6"/>
    <w:rsid w:val="13D75C16"/>
    <w:rsid w:val="141A71FC"/>
    <w:rsid w:val="14393E39"/>
    <w:rsid w:val="1439492C"/>
    <w:rsid w:val="144E282E"/>
    <w:rsid w:val="144F0E95"/>
    <w:rsid w:val="145F4995"/>
    <w:rsid w:val="14905D77"/>
    <w:rsid w:val="14A9503F"/>
    <w:rsid w:val="14A97C34"/>
    <w:rsid w:val="14B977CE"/>
    <w:rsid w:val="14C13D98"/>
    <w:rsid w:val="14C818C6"/>
    <w:rsid w:val="14D17473"/>
    <w:rsid w:val="14D2285A"/>
    <w:rsid w:val="14F848F0"/>
    <w:rsid w:val="1533008F"/>
    <w:rsid w:val="153D3401"/>
    <w:rsid w:val="155142E7"/>
    <w:rsid w:val="156204B0"/>
    <w:rsid w:val="15855A36"/>
    <w:rsid w:val="158E06A1"/>
    <w:rsid w:val="15932B1E"/>
    <w:rsid w:val="15AF36C0"/>
    <w:rsid w:val="15EE7CEF"/>
    <w:rsid w:val="160D691C"/>
    <w:rsid w:val="16333435"/>
    <w:rsid w:val="16391530"/>
    <w:rsid w:val="166C136C"/>
    <w:rsid w:val="168C0198"/>
    <w:rsid w:val="16C6539F"/>
    <w:rsid w:val="16C83962"/>
    <w:rsid w:val="16ED23AA"/>
    <w:rsid w:val="170B54AD"/>
    <w:rsid w:val="17190E2C"/>
    <w:rsid w:val="173E2364"/>
    <w:rsid w:val="1761710C"/>
    <w:rsid w:val="17812612"/>
    <w:rsid w:val="1789592C"/>
    <w:rsid w:val="17933C9F"/>
    <w:rsid w:val="17B13E29"/>
    <w:rsid w:val="17D67A38"/>
    <w:rsid w:val="17DB1463"/>
    <w:rsid w:val="17E81345"/>
    <w:rsid w:val="17ED5B45"/>
    <w:rsid w:val="18260DD1"/>
    <w:rsid w:val="182656C2"/>
    <w:rsid w:val="182F1AED"/>
    <w:rsid w:val="18303541"/>
    <w:rsid w:val="183735E3"/>
    <w:rsid w:val="18643A01"/>
    <w:rsid w:val="18744310"/>
    <w:rsid w:val="18A12DFD"/>
    <w:rsid w:val="18A922F3"/>
    <w:rsid w:val="18A97105"/>
    <w:rsid w:val="18B137E8"/>
    <w:rsid w:val="18D46399"/>
    <w:rsid w:val="18F34835"/>
    <w:rsid w:val="18F56002"/>
    <w:rsid w:val="192F50C9"/>
    <w:rsid w:val="19633F03"/>
    <w:rsid w:val="199E02FC"/>
    <w:rsid w:val="19BA1CE3"/>
    <w:rsid w:val="19DF55C2"/>
    <w:rsid w:val="1A0C61A8"/>
    <w:rsid w:val="1A132F57"/>
    <w:rsid w:val="1A300E03"/>
    <w:rsid w:val="1A5F760F"/>
    <w:rsid w:val="1A6F3E95"/>
    <w:rsid w:val="1A6F6E85"/>
    <w:rsid w:val="1A8F79D1"/>
    <w:rsid w:val="1AD51B88"/>
    <w:rsid w:val="1B2058A0"/>
    <w:rsid w:val="1B566A66"/>
    <w:rsid w:val="1B8565CF"/>
    <w:rsid w:val="1B9104B0"/>
    <w:rsid w:val="1BAC363D"/>
    <w:rsid w:val="1BD60F79"/>
    <w:rsid w:val="1C0C60A0"/>
    <w:rsid w:val="1C41527E"/>
    <w:rsid w:val="1C49412F"/>
    <w:rsid w:val="1C4F5FC4"/>
    <w:rsid w:val="1C64078D"/>
    <w:rsid w:val="1C81524F"/>
    <w:rsid w:val="1CA121A3"/>
    <w:rsid w:val="1CBF1A8C"/>
    <w:rsid w:val="1CC154A6"/>
    <w:rsid w:val="1CDF257F"/>
    <w:rsid w:val="1CE40841"/>
    <w:rsid w:val="1CF405AE"/>
    <w:rsid w:val="1CFB22F4"/>
    <w:rsid w:val="1D014450"/>
    <w:rsid w:val="1D080FAE"/>
    <w:rsid w:val="1D2A2C86"/>
    <w:rsid w:val="1D2A6659"/>
    <w:rsid w:val="1D41310E"/>
    <w:rsid w:val="1D426DC5"/>
    <w:rsid w:val="1D4377C2"/>
    <w:rsid w:val="1D54682E"/>
    <w:rsid w:val="1D575B51"/>
    <w:rsid w:val="1D9F4A19"/>
    <w:rsid w:val="1DA05599"/>
    <w:rsid w:val="1DA74B51"/>
    <w:rsid w:val="1DAB519B"/>
    <w:rsid w:val="1DC65420"/>
    <w:rsid w:val="1DC94DC3"/>
    <w:rsid w:val="1E0649A4"/>
    <w:rsid w:val="1E474E6F"/>
    <w:rsid w:val="1E6843C7"/>
    <w:rsid w:val="1EA60FCA"/>
    <w:rsid w:val="1EA87417"/>
    <w:rsid w:val="1ED70A99"/>
    <w:rsid w:val="1F35766F"/>
    <w:rsid w:val="1F65672E"/>
    <w:rsid w:val="1F6B4880"/>
    <w:rsid w:val="1F6D18D3"/>
    <w:rsid w:val="1F855EC8"/>
    <w:rsid w:val="1F865B87"/>
    <w:rsid w:val="1F8D0E35"/>
    <w:rsid w:val="1FAD401E"/>
    <w:rsid w:val="1FB611E4"/>
    <w:rsid w:val="1FBA2E91"/>
    <w:rsid w:val="1FC02D54"/>
    <w:rsid w:val="1FD92D82"/>
    <w:rsid w:val="1FEC7AA3"/>
    <w:rsid w:val="1FEE1F52"/>
    <w:rsid w:val="20484658"/>
    <w:rsid w:val="20950348"/>
    <w:rsid w:val="20981E88"/>
    <w:rsid w:val="20A10137"/>
    <w:rsid w:val="20B97750"/>
    <w:rsid w:val="20BD2343"/>
    <w:rsid w:val="20C125E5"/>
    <w:rsid w:val="20D25E8A"/>
    <w:rsid w:val="20D71377"/>
    <w:rsid w:val="20F77EBA"/>
    <w:rsid w:val="20FE0571"/>
    <w:rsid w:val="212E54E4"/>
    <w:rsid w:val="212F48FD"/>
    <w:rsid w:val="215C01A3"/>
    <w:rsid w:val="21B23C30"/>
    <w:rsid w:val="21D5663A"/>
    <w:rsid w:val="21DE0782"/>
    <w:rsid w:val="220D5F91"/>
    <w:rsid w:val="220F017A"/>
    <w:rsid w:val="223D6488"/>
    <w:rsid w:val="224F423C"/>
    <w:rsid w:val="227710AB"/>
    <w:rsid w:val="227D1072"/>
    <w:rsid w:val="229B4E78"/>
    <w:rsid w:val="22C77F82"/>
    <w:rsid w:val="22DA4F97"/>
    <w:rsid w:val="22E50F21"/>
    <w:rsid w:val="22F562BD"/>
    <w:rsid w:val="231C3AC6"/>
    <w:rsid w:val="23261385"/>
    <w:rsid w:val="233970A1"/>
    <w:rsid w:val="2390118C"/>
    <w:rsid w:val="23A33225"/>
    <w:rsid w:val="23A3458B"/>
    <w:rsid w:val="23A83880"/>
    <w:rsid w:val="23AC3B0D"/>
    <w:rsid w:val="23AE3EA4"/>
    <w:rsid w:val="23BD797B"/>
    <w:rsid w:val="23CC13DF"/>
    <w:rsid w:val="23FB5FE0"/>
    <w:rsid w:val="241374BB"/>
    <w:rsid w:val="24210897"/>
    <w:rsid w:val="242E0AC8"/>
    <w:rsid w:val="24474E0A"/>
    <w:rsid w:val="244E4AD0"/>
    <w:rsid w:val="246B4679"/>
    <w:rsid w:val="247A1089"/>
    <w:rsid w:val="247E1DBE"/>
    <w:rsid w:val="24851C2B"/>
    <w:rsid w:val="249900C5"/>
    <w:rsid w:val="24AC3100"/>
    <w:rsid w:val="24BF7D42"/>
    <w:rsid w:val="255D2F2A"/>
    <w:rsid w:val="256C5A3D"/>
    <w:rsid w:val="257963F1"/>
    <w:rsid w:val="25A7402B"/>
    <w:rsid w:val="25FE15DC"/>
    <w:rsid w:val="26806C09"/>
    <w:rsid w:val="26863962"/>
    <w:rsid w:val="26983792"/>
    <w:rsid w:val="26B33EEF"/>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27387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B32EED"/>
    <w:rsid w:val="2AE42B9F"/>
    <w:rsid w:val="2AFA4FF0"/>
    <w:rsid w:val="2AFF35D3"/>
    <w:rsid w:val="2B0A651F"/>
    <w:rsid w:val="2B132D50"/>
    <w:rsid w:val="2B6076B4"/>
    <w:rsid w:val="2B617D56"/>
    <w:rsid w:val="2B771B4C"/>
    <w:rsid w:val="2BEB27E3"/>
    <w:rsid w:val="2BEB2E9D"/>
    <w:rsid w:val="2BF61207"/>
    <w:rsid w:val="2C2E6F83"/>
    <w:rsid w:val="2C435380"/>
    <w:rsid w:val="2C620007"/>
    <w:rsid w:val="2CD367CC"/>
    <w:rsid w:val="2CDD2B9E"/>
    <w:rsid w:val="2D09394F"/>
    <w:rsid w:val="2D1A0EEC"/>
    <w:rsid w:val="2D6345E9"/>
    <w:rsid w:val="2D7E4209"/>
    <w:rsid w:val="2D9B288E"/>
    <w:rsid w:val="2DBD42B5"/>
    <w:rsid w:val="2DC26FF0"/>
    <w:rsid w:val="2DCB5DC1"/>
    <w:rsid w:val="2DCE5309"/>
    <w:rsid w:val="2DE2242A"/>
    <w:rsid w:val="2E4225F7"/>
    <w:rsid w:val="2E463849"/>
    <w:rsid w:val="2E5A5340"/>
    <w:rsid w:val="2E6E73D5"/>
    <w:rsid w:val="2E81141D"/>
    <w:rsid w:val="2E9A7ADA"/>
    <w:rsid w:val="2EC304B4"/>
    <w:rsid w:val="2EED3E74"/>
    <w:rsid w:val="2F1B0798"/>
    <w:rsid w:val="2F4F0438"/>
    <w:rsid w:val="2F506BFB"/>
    <w:rsid w:val="2F665006"/>
    <w:rsid w:val="2F7E2CC0"/>
    <w:rsid w:val="2F921764"/>
    <w:rsid w:val="2F98405A"/>
    <w:rsid w:val="2FD11EB8"/>
    <w:rsid w:val="303D5772"/>
    <w:rsid w:val="306E40F7"/>
    <w:rsid w:val="309B4273"/>
    <w:rsid w:val="30B15581"/>
    <w:rsid w:val="30B93848"/>
    <w:rsid w:val="30BE1DE8"/>
    <w:rsid w:val="30C502D2"/>
    <w:rsid w:val="31253510"/>
    <w:rsid w:val="313177AD"/>
    <w:rsid w:val="31341EAD"/>
    <w:rsid w:val="31423CC5"/>
    <w:rsid w:val="3157256E"/>
    <w:rsid w:val="31665B97"/>
    <w:rsid w:val="31854B7E"/>
    <w:rsid w:val="31E86EE4"/>
    <w:rsid w:val="31FD6157"/>
    <w:rsid w:val="32171B71"/>
    <w:rsid w:val="321F3CB7"/>
    <w:rsid w:val="322B53E9"/>
    <w:rsid w:val="32915ABA"/>
    <w:rsid w:val="329C1497"/>
    <w:rsid w:val="32D72576"/>
    <w:rsid w:val="32D93319"/>
    <w:rsid w:val="330D0307"/>
    <w:rsid w:val="33126534"/>
    <w:rsid w:val="33253C22"/>
    <w:rsid w:val="332C3D97"/>
    <w:rsid w:val="3360351F"/>
    <w:rsid w:val="3361498E"/>
    <w:rsid w:val="33620CB2"/>
    <w:rsid w:val="3394176C"/>
    <w:rsid w:val="33B17CDB"/>
    <w:rsid w:val="33E04B57"/>
    <w:rsid w:val="33FA7456"/>
    <w:rsid w:val="34024883"/>
    <w:rsid w:val="342C6E98"/>
    <w:rsid w:val="344F7140"/>
    <w:rsid w:val="34755DB1"/>
    <w:rsid w:val="349E0FB2"/>
    <w:rsid w:val="34A96A1A"/>
    <w:rsid w:val="34B370D1"/>
    <w:rsid w:val="34CA52FD"/>
    <w:rsid w:val="34DE3A58"/>
    <w:rsid w:val="34E622D6"/>
    <w:rsid w:val="3518700F"/>
    <w:rsid w:val="352F2FF3"/>
    <w:rsid w:val="35375748"/>
    <w:rsid w:val="35486C73"/>
    <w:rsid w:val="35507C9C"/>
    <w:rsid w:val="359E09BB"/>
    <w:rsid w:val="35E83474"/>
    <w:rsid w:val="36000549"/>
    <w:rsid w:val="361A4DE1"/>
    <w:rsid w:val="361F592F"/>
    <w:rsid w:val="362F79EA"/>
    <w:rsid w:val="364F0071"/>
    <w:rsid w:val="36516B14"/>
    <w:rsid w:val="36556C85"/>
    <w:rsid w:val="3675230B"/>
    <w:rsid w:val="36766F5C"/>
    <w:rsid w:val="36777C43"/>
    <w:rsid w:val="367E7A3F"/>
    <w:rsid w:val="36A939A5"/>
    <w:rsid w:val="36BB1AA7"/>
    <w:rsid w:val="36BE228F"/>
    <w:rsid w:val="36C1347A"/>
    <w:rsid w:val="36C31B41"/>
    <w:rsid w:val="36C532A1"/>
    <w:rsid w:val="36CE234D"/>
    <w:rsid w:val="36D347D3"/>
    <w:rsid w:val="36DA50A9"/>
    <w:rsid w:val="3736228A"/>
    <w:rsid w:val="37612133"/>
    <w:rsid w:val="37671725"/>
    <w:rsid w:val="376F122C"/>
    <w:rsid w:val="3798526A"/>
    <w:rsid w:val="37B72EB1"/>
    <w:rsid w:val="37C806F3"/>
    <w:rsid w:val="37C85C3C"/>
    <w:rsid w:val="37CF1603"/>
    <w:rsid w:val="37D2017D"/>
    <w:rsid w:val="38585500"/>
    <w:rsid w:val="385D1C71"/>
    <w:rsid w:val="38685317"/>
    <w:rsid w:val="388E1434"/>
    <w:rsid w:val="38BA5460"/>
    <w:rsid w:val="38C62FF5"/>
    <w:rsid w:val="38D62476"/>
    <w:rsid w:val="38E27127"/>
    <w:rsid w:val="39027E88"/>
    <w:rsid w:val="39075875"/>
    <w:rsid w:val="391904A1"/>
    <w:rsid w:val="391C718D"/>
    <w:rsid w:val="394D30B0"/>
    <w:rsid w:val="39624091"/>
    <w:rsid w:val="39627FB8"/>
    <w:rsid w:val="397C6037"/>
    <w:rsid w:val="399A3BA6"/>
    <w:rsid w:val="399B5297"/>
    <w:rsid w:val="39C22D55"/>
    <w:rsid w:val="39D43B66"/>
    <w:rsid w:val="39DE74F9"/>
    <w:rsid w:val="39EC03FA"/>
    <w:rsid w:val="3A1E303B"/>
    <w:rsid w:val="3A1F74C9"/>
    <w:rsid w:val="3A2A1F54"/>
    <w:rsid w:val="3A2D40D1"/>
    <w:rsid w:val="3A314B02"/>
    <w:rsid w:val="3A5C2602"/>
    <w:rsid w:val="3A79657B"/>
    <w:rsid w:val="3A8B77C7"/>
    <w:rsid w:val="3A9239EC"/>
    <w:rsid w:val="3A9A32EA"/>
    <w:rsid w:val="3ACD391F"/>
    <w:rsid w:val="3AE07D2F"/>
    <w:rsid w:val="3B026D00"/>
    <w:rsid w:val="3B1471CB"/>
    <w:rsid w:val="3B655681"/>
    <w:rsid w:val="3B6C4553"/>
    <w:rsid w:val="3B6F3ABC"/>
    <w:rsid w:val="3B7527F4"/>
    <w:rsid w:val="3B97102A"/>
    <w:rsid w:val="3BAA143A"/>
    <w:rsid w:val="3BC378A6"/>
    <w:rsid w:val="3BDC08FD"/>
    <w:rsid w:val="3BE42ECD"/>
    <w:rsid w:val="3BFE1CAB"/>
    <w:rsid w:val="3C10260E"/>
    <w:rsid w:val="3C274A05"/>
    <w:rsid w:val="3C563242"/>
    <w:rsid w:val="3C5826F1"/>
    <w:rsid w:val="3C721B10"/>
    <w:rsid w:val="3C7511AE"/>
    <w:rsid w:val="3C7B563D"/>
    <w:rsid w:val="3CA977D2"/>
    <w:rsid w:val="3CC733AF"/>
    <w:rsid w:val="3CF76813"/>
    <w:rsid w:val="3CFC6063"/>
    <w:rsid w:val="3D1319B5"/>
    <w:rsid w:val="3D1B0CBA"/>
    <w:rsid w:val="3D260CA6"/>
    <w:rsid w:val="3D520CCB"/>
    <w:rsid w:val="3D5C6974"/>
    <w:rsid w:val="3D6678B0"/>
    <w:rsid w:val="3D772181"/>
    <w:rsid w:val="3D823D30"/>
    <w:rsid w:val="3DA824B9"/>
    <w:rsid w:val="3DCE6FB3"/>
    <w:rsid w:val="3DD16176"/>
    <w:rsid w:val="3E0D13FA"/>
    <w:rsid w:val="3E104E3F"/>
    <w:rsid w:val="3E1D6E9C"/>
    <w:rsid w:val="3E414964"/>
    <w:rsid w:val="3E4A1BED"/>
    <w:rsid w:val="3E662345"/>
    <w:rsid w:val="3E82228B"/>
    <w:rsid w:val="3E8242C1"/>
    <w:rsid w:val="3EB33AF3"/>
    <w:rsid w:val="3EFD0DF6"/>
    <w:rsid w:val="3EFE49C6"/>
    <w:rsid w:val="3F0A5B5C"/>
    <w:rsid w:val="3F1A0890"/>
    <w:rsid w:val="3F3F5846"/>
    <w:rsid w:val="3F71500B"/>
    <w:rsid w:val="3F801023"/>
    <w:rsid w:val="3F8064EB"/>
    <w:rsid w:val="3F982DCA"/>
    <w:rsid w:val="3FD12D26"/>
    <w:rsid w:val="3FD903C4"/>
    <w:rsid w:val="3FD90D25"/>
    <w:rsid w:val="3FDE4917"/>
    <w:rsid w:val="402F3ADF"/>
    <w:rsid w:val="40306F5A"/>
    <w:rsid w:val="40476BB3"/>
    <w:rsid w:val="405206D0"/>
    <w:rsid w:val="40546FB6"/>
    <w:rsid w:val="40554803"/>
    <w:rsid w:val="407A60D5"/>
    <w:rsid w:val="40961808"/>
    <w:rsid w:val="40AB4DEE"/>
    <w:rsid w:val="40AF2EDB"/>
    <w:rsid w:val="40B610A3"/>
    <w:rsid w:val="40D24BBE"/>
    <w:rsid w:val="40E239C8"/>
    <w:rsid w:val="40EC4043"/>
    <w:rsid w:val="412008E0"/>
    <w:rsid w:val="413A6D3B"/>
    <w:rsid w:val="41515AC7"/>
    <w:rsid w:val="41902B9F"/>
    <w:rsid w:val="41C02331"/>
    <w:rsid w:val="41C13A63"/>
    <w:rsid w:val="41C67037"/>
    <w:rsid w:val="41D229E1"/>
    <w:rsid w:val="41EC6E94"/>
    <w:rsid w:val="41F72149"/>
    <w:rsid w:val="41FC21EC"/>
    <w:rsid w:val="42415ACC"/>
    <w:rsid w:val="427D539F"/>
    <w:rsid w:val="42991E30"/>
    <w:rsid w:val="429D506C"/>
    <w:rsid w:val="42CE0B28"/>
    <w:rsid w:val="42CF6367"/>
    <w:rsid w:val="42DE1CCC"/>
    <w:rsid w:val="42E45075"/>
    <w:rsid w:val="42FC0B99"/>
    <w:rsid w:val="4308546B"/>
    <w:rsid w:val="43263445"/>
    <w:rsid w:val="4335416F"/>
    <w:rsid w:val="434157E3"/>
    <w:rsid w:val="43494860"/>
    <w:rsid w:val="434D380E"/>
    <w:rsid w:val="43934189"/>
    <w:rsid w:val="439D4850"/>
    <w:rsid w:val="43C2293A"/>
    <w:rsid w:val="43C27232"/>
    <w:rsid w:val="43ED069F"/>
    <w:rsid w:val="442A6E5A"/>
    <w:rsid w:val="445C4B8F"/>
    <w:rsid w:val="44833851"/>
    <w:rsid w:val="44982752"/>
    <w:rsid w:val="44BF6F86"/>
    <w:rsid w:val="44C45031"/>
    <w:rsid w:val="44D53AB2"/>
    <w:rsid w:val="44F27B0D"/>
    <w:rsid w:val="45485BDE"/>
    <w:rsid w:val="45945C30"/>
    <w:rsid w:val="459F2306"/>
    <w:rsid w:val="45A35BE1"/>
    <w:rsid w:val="45A5184C"/>
    <w:rsid w:val="45A832FE"/>
    <w:rsid w:val="45AB6174"/>
    <w:rsid w:val="45BA63E5"/>
    <w:rsid w:val="45CC5EDC"/>
    <w:rsid w:val="45F73D47"/>
    <w:rsid w:val="462D2575"/>
    <w:rsid w:val="46467FD8"/>
    <w:rsid w:val="46601D33"/>
    <w:rsid w:val="4666746C"/>
    <w:rsid w:val="467505FA"/>
    <w:rsid w:val="468720BA"/>
    <w:rsid w:val="46895AFC"/>
    <w:rsid w:val="46BC623F"/>
    <w:rsid w:val="46D855B9"/>
    <w:rsid w:val="470D2C74"/>
    <w:rsid w:val="477570F1"/>
    <w:rsid w:val="47B41AAA"/>
    <w:rsid w:val="47CD38AD"/>
    <w:rsid w:val="47DB16D8"/>
    <w:rsid w:val="48416760"/>
    <w:rsid w:val="48466F81"/>
    <w:rsid w:val="484D02A2"/>
    <w:rsid w:val="486B647A"/>
    <w:rsid w:val="486D24FA"/>
    <w:rsid w:val="48773F8E"/>
    <w:rsid w:val="48896934"/>
    <w:rsid w:val="48A02FA3"/>
    <w:rsid w:val="48C12AEC"/>
    <w:rsid w:val="48D072A1"/>
    <w:rsid w:val="48D1341D"/>
    <w:rsid w:val="48D63F90"/>
    <w:rsid w:val="48E0279A"/>
    <w:rsid w:val="48E64C8E"/>
    <w:rsid w:val="48FA7B87"/>
    <w:rsid w:val="4919356E"/>
    <w:rsid w:val="492A1939"/>
    <w:rsid w:val="492A7740"/>
    <w:rsid w:val="49300AA7"/>
    <w:rsid w:val="49391CB0"/>
    <w:rsid w:val="493C3A20"/>
    <w:rsid w:val="49401E21"/>
    <w:rsid w:val="49526EB9"/>
    <w:rsid w:val="49684311"/>
    <w:rsid w:val="496D00AD"/>
    <w:rsid w:val="496E6116"/>
    <w:rsid w:val="49742114"/>
    <w:rsid w:val="49754CB4"/>
    <w:rsid w:val="49823354"/>
    <w:rsid w:val="49921F0F"/>
    <w:rsid w:val="499D6647"/>
    <w:rsid w:val="49CE6B8E"/>
    <w:rsid w:val="49D72FF3"/>
    <w:rsid w:val="49DF5895"/>
    <w:rsid w:val="49E0102B"/>
    <w:rsid w:val="4A00309F"/>
    <w:rsid w:val="4A090012"/>
    <w:rsid w:val="4A2945F2"/>
    <w:rsid w:val="4A431579"/>
    <w:rsid w:val="4A615154"/>
    <w:rsid w:val="4A96607C"/>
    <w:rsid w:val="4AB92E92"/>
    <w:rsid w:val="4AD465E0"/>
    <w:rsid w:val="4B2134B8"/>
    <w:rsid w:val="4B24233C"/>
    <w:rsid w:val="4B330A0B"/>
    <w:rsid w:val="4B5E55F9"/>
    <w:rsid w:val="4B685D82"/>
    <w:rsid w:val="4B6B7104"/>
    <w:rsid w:val="4B7B4674"/>
    <w:rsid w:val="4B7C663B"/>
    <w:rsid w:val="4B812078"/>
    <w:rsid w:val="4BF71347"/>
    <w:rsid w:val="4BF86C53"/>
    <w:rsid w:val="4BF97932"/>
    <w:rsid w:val="4C141E75"/>
    <w:rsid w:val="4C1E0505"/>
    <w:rsid w:val="4C2A4039"/>
    <w:rsid w:val="4CAA4834"/>
    <w:rsid w:val="4CAE60E3"/>
    <w:rsid w:val="4CEE1D13"/>
    <w:rsid w:val="4CF17B79"/>
    <w:rsid w:val="4D032DA9"/>
    <w:rsid w:val="4D0C6DBE"/>
    <w:rsid w:val="4D1F6C28"/>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5341C"/>
    <w:rsid w:val="4E9B7B12"/>
    <w:rsid w:val="4EC47712"/>
    <w:rsid w:val="4EDD3C61"/>
    <w:rsid w:val="4EF1457F"/>
    <w:rsid w:val="4F152E91"/>
    <w:rsid w:val="4F211EBA"/>
    <w:rsid w:val="4F2C40A0"/>
    <w:rsid w:val="4F2F3B98"/>
    <w:rsid w:val="4F380B7A"/>
    <w:rsid w:val="4F4B0CB3"/>
    <w:rsid w:val="4F4F0EBF"/>
    <w:rsid w:val="4F8C4B40"/>
    <w:rsid w:val="4FAA5CD5"/>
    <w:rsid w:val="4FBD187E"/>
    <w:rsid w:val="4FD11AC0"/>
    <w:rsid w:val="501F1883"/>
    <w:rsid w:val="502F75EB"/>
    <w:rsid w:val="50400243"/>
    <w:rsid w:val="50494336"/>
    <w:rsid w:val="50784012"/>
    <w:rsid w:val="50813C12"/>
    <w:rsid w:val="5087463E"/>
    <w:rsid w:val="50A11680"/>
    <w:rsid w:val="50B77550"/>
    <w:rsid w:val="50C773AE"/>
    <w:rsid w:val="50CD6602"/>
    <w:rsid w:val="510D0F23"/>
    <w:rsid w:val="51160044"/>
    <w:rsid w:val="51197B59"/>
    <w:rsid w:val="51615030"/>
    <w:rsid w:val="51627812"/>
    <w:rsid w:val="517478BA"/>
    <w:rsid w:val="51D33F6D"/>
    <w:rsid w:val="52045DB4"/>
    <w:rsid w:val="52183D13"/>
    <w:rsid w:val="522C275E"/>
    <w:rsid w:val="528C3741"/>
    <w:rsid w:val="529000F6"/>
    <w:rsid w:val="5296149A"/>
    <w:rsid w:val="52A65672"/>
    <w:rsid w:val="52BA4073"/>
    <w:rsid w:val="52CD7B31"/>
    <w:rsid w:val="52D576F4"/>
    <w:rsid w:val="52DB5A02"/>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244CD"/>
    <w:rsid w:val="53E32E36"/>
    <w:rsid w:val="54203B94"/>
    <w:rsid w:val="5424233E"/>
    <w:rsid w:val="542A3DC2"/>
    <w:rsid w:val="542C299E"/>
    <w:rsid w:val="543642C1"/>
    <w:rsid w:val="543B4023"/>
    <w:rsid w:val="5461235D"/>
    <w:rsid w:val="54667BA2"/>
    <w:rsid w:val="547E7555"/>
    <w:rsid w:val="54A01FAE"/>
    <w:rsid w:val="54BE3CD2"/>
    <w:rsid w:val="54C0256E"/>
    <w:rsid w:val="54C334B7"/>
    <w:rsid w:val="54D4667D"/>
    <w:rsid w:val="54D55C56"/>
    <w:rsid w:val="54EC389B"/>
    <w:rsid w:val="54F847D9"/>
    <w:rsid w:val="55126190"/>
    <w:rsid w:val="555F3833"/>
    <w:rsid w:val="55667780"/>
    <w:rsid w:val="556E493A"/>
    <w:rsid w:val="55941D63"/>
    <w:rsid w:val="559C0CE1"/>
    <w:rsid w:val="55D11119"/>
    <w:rsid w:val="55DB1F79"/>
    <w:rsid w:val="560A42BD"/>
    <w:rsid w:val="560C1D89"/>
    <w:rsid w:val="56353B20"/>
    <w:rsid w:val="56443B98"/>
    <w:rsid w:val="56453A77"/>
    <w:rsid w:val="56757259"/>
    <w:rsid w:val="568B06F7"/>
    <w:rsid w:val="56CB4BCB"/>
    <w:rsid w:val="56EC792F"/>
    <w:rsid w:val="57391A95"/>
    <w:rsid w:val="573F3C9E"/>
    <w:rsid w:val="574C52C4"/>
    <w:rsid w:val="57526FDB"/>
    <w:rsid w:val="57572F35"/>
    <w:rsid w:val="575B33A4"/>
    <w:rsid w:val="57674A5D"/>
    <w:rsid w:val="57C90530"/>
    <w:rsid w:val="57CE0836"/>
    <w:rsid w:val="58012402"/>
    <w:rsid w:val="582F44F7"/>
    <w:rsid w:val="583F27F2"/>
    <w:rsid w:val="58455B6D"/>
    <w:rsid w:val="584D29B0"/>
    <w:rsid w:val="584F7C49"/>
    <w:rsid w:val="5888302C"/>
    <w:rsid w:val="5889129A"/>
    <w:rsid w:val="58AD528C"/>
    <w:rsid w:val="58B31955"/>
    <w:rsid w:val="58BA1500"/>
    <w:rsid w:val="58BA45A1"/>
    <w:rsid w:val="58E42BF0"/>
    <w:rsid w:val="594F6915"/>
    <w:rsid w:val="59737A65"/>
    <w:rsid w:val="59833C43"/>
    <w:rsid w:val="59842DF4"/>
    <w:rsid w:val="598F7107"/>
    <w:rsid w:val="59A0359A"/>
    <w:rsid w:val="59AE486A"/>
    <w:rsid w:val="59E52D9A"/>
    <w:rsid w:val="59EF37CB"/>
    <w:rsid w:val="59F562F0"/>
    <w:rsid w:val="5A126D4A"/>
    <w:rsid w:val="5A300449"/>
    <w:rsid w:val="5A482DEE"/>
    <w:rsid w:val="5A55295D"/>
    <w:rsid w:val="5A7E104A"/>
    <w:rsid w:val="5A8208A0"/>
    <w:rsid w:val="5A861FD5"/>
    <w:rsid w:val="5AD036BE"/>
    <w:rsid w:val="5AE3253A"/>
    <w:rsid w:val="5AEA30C9"/>
    <w:rsid w:val="5AEA3475"/>
    <w:rsid w:val="5AF54C6B"/>
    <w:rsid w:val="5B087B94"/>
    <w:rsid w:val="5B0C2FBE"/>
    <w:rsid w:val="5B0E3E89"/>
    <w:rsid w:val="5B124740"/>
    <w:rsid w:val="5B212C79"/>
    <w:rsid w:val="5B3E7FCE"/>
    <w:rsid w:val="5B3F66E7"/>
    <w:rsid w:val="5B872AE6"/>
    <w:rsid w:val="5BA77753"/>
    <w:rsid w:val="5BC025EF"/>
    <w:rsid w:val="5C1203C7"/>
    <w:rsid w:val="5C1F35AE"/>
    <w:rsid w:val="5C3905BF"/>
    <w:rsid w:val="5C66397A"/>
    <w:rsid w:val="5C7349B6"/>
    <w:rsid w:val="5C774DC3"/>
    <w:rsid w:val="5C824C05"/>
    <w:rsid w:val="5C8725EE"/>
    <w:rsid w:val="5CB0251A"/>
    <w:rsid w:val="5CB97030"/>
    <w:rsid w:val="5CC97332"/>
    <w:rsid w:val="5CDD1607"/>
    <w:rsid w:val="5D0833A1"/>
    <w:rsid w:val="5D187049"/>
    <w:rsid w:val="5D1D2427"/>
    <w:rsid w:val="5D2D1335"/>
    <w:rsid w:val="5D756277"/>
    <w:rsid w:val="5D955FBD"/>
    <w:rsid w:val="5DA23488"/>
    <w:rsid w:val="5DA62524"/>
    <w:rsid w:val="5DAC3919"/>
    <w:rsid w:val="5DB36259"/>
    <w:rsid w:val="5DBD33B2"/>
    <w:rsid w:val="5DC223CB"/>
    <w:rsid w:val="5DF66637"/>
    <w:rsid w:val="5DFF6858"/>
    <w:rsid w:val="5E185132"/>
    <w:rsid w:val="5E2A0167"/>
    <w:rsid w:val="5E4F64AE"/>
    <w:rsid w:val="5E5D68E8"/>
    <w:rsid w:val="5E802A96"/>
    <w:rsid w:val="5E9074FF"/>
    <w:rsid w:val="5EB62A77"/>
    <w:rsid w:val="5EB80355"/>
    <w:rsid w:val="5EBB2226"/>
    <w:rsid w:val="5EBE5F24"/>
    <w:rsid w:val="5EF07004"/>
    <w:rsid w:val="5F0E1E9A"/>
    <w:rsid w:val="5F6870E3"/>
    <w:rsid w:val="5F860C23"/>
    <w:rsid w:val="5FC44411"/>
    <w:rsid w:val="5FEA5EAB"/>
    <w:rsid w:val="605C7AA6"/>
    <w:rsid w:val="605F132B"/>
    <w:rsid w:val="608510A4"/>
    <w:rsid w:val="608762FF"/>
    <w:rsid w:val="609E1C45"/>
    <w:rsid w:val="60BD4FD1"/>
    <w:rsid w:val="60D507D0"/>
    <w:rsid w:val="60EA1511"/>
    <w:rsid w:val="60EB6C34"/>
    <w:rsid w:val="60FB0B6F"/>
    <w:rsid w:val="60FD5C7B"/>
    <w:rsid w:val="61191AF7"/>
    <w:rsid w:val="613D7E7B"/>
    <w:rsid w:val="617162E9"/>
    <w:rsid w:val="618E44E4"/>
    <w:rsid w:val="61A52BAA"/>
    <w:rsid w:val="61C84203"/>
    <w:rsid w:val="61FA0AE4"/>
    <w:rsid w:val="623438BB"/>
    <w:rsid w:val="624B10F0"/>
    <w:rsid w:val="624F3E48"/>
    <w:rsid w:val="62635981"/>
    <w:rsid w:val="629B3E75"/>
    <w:rsid w:val="629B5D43"/>
    <w:rsid w:val="62A36D1F"/>
    <w:rsid w:val="62A40365"/>
    <w:rsid w:val="62A469A9"/>
    <w:rsid w:val="62A92FF1"/>
    <w:rsid w:val="62AC6221"/>
    <w:rsid w:val="62B90FFE"/>
    <w:rsid w:val="62C937AB"/>
    <w:rsid w:val="62D52146"/>
    <w:rsid w:val="62F6018D"/>
    <w:rsid w:val="63016E3A"/>
    <w:rsid w:val="63034141"/>
    <w:rsid w:val="63045E00"/>
    <w:rsid w:val="630A731B"/>
    <w:rsid w:val="63386B48"/>
    <w:rsid w:val="633A3FE7"/>
    <w:rsid w:val="63562840"/>
    <w:rsid w:val="637141EC"/>
    <w:rsid w:val="63805B1F"/>
    <w:rsid w:val="63834973"/>
    <w:rsid w:val="638F3DC7"/>
    <w:rsid w:val="6397194C"/>
    <w:rsid w:val="63DA4B5E"/>
    <w:rsid w:val="64273E62"/>
    <w:rsid w:val="642E2892"/>
    <w:rsid w:val="645C58F3"/>
    <w:rsid w:val="64AD7C37"/>
    <w:rsid w:val="64B05758"/>
    <w:rsid w:val="64BE4B0D"/>
    <w:rsid w:val="65075A96"/>
    <w:rsid w:val="650E600B"/>
    <w:rsid w:val="650F0C7B"/>
    <w:rsid w:val="65656341"/>
    <w:rsid w:val="65B221E6"/>
    <w:rsid w:val="65BF566F"/>
    <w:rsid w:val="66222113"/>
    <w:rsid w:val="66426031"/>
    <w:rsid w:val="664B45CC"/>
    <w:rsid w:val="66593B74"/>
    <w:rsid w:val="66651C8A"/>
    <w:rsid w:val="66675176"/>
    <w:rsid w:val="66913BBB"/>
    <w:rsid w:val="669F2C65"/>
    <w:rsid w:val="66A802CB"/>
    <w:rsid w:val="66BE6B53"/>
    <w:rsid w:val="66C55FD8"/>
    <w:rsid w:val="66D10746"/>
    <w:rsid w:val="66D333AF"/>
    <w:rsid w:val="67192A34"/>
    <w:rsid w:val="674A4927"/>
    <w:rsid w:val="677243C5"/>
    <w:rsid w:val="678568CD"/>
    <w:rsid w:val="67A24F14"/>
    <w:rsid w:val="67BB4EAD"/>
    <w:rsid w:val="67DF6BD7"/>
    <w:rsid w:val="67E453F6"/>
    <w:rsid w:val="67F130F8"/>
    <w:rsid w:val="67F84AFE"/>
    <w:rsid w:val="6808459F"/>
    <w:rsid w:val="680878A3"/>
    <w:rsid w:val="68340476"/>
    <w:rsid w:val="683870E8"/>
    <w:rsid w:val="68457681"/>
    <w:rsid w:val="684977D5"/>
    <w:rsid w:val="68552C50"/>
    <w:rsid w:val="685D34E7"/>
    <w:rsid w:val="68A8123A"/>
    <w:rsid w:val="68AC49F4"/>
    <w:rsid w:val="68B84F4C"/>
    <w:rsid w:val="68CF175C"/>
    <w:rsid w:val="68F7215A"/>
    <w:rsid w:val="69055229"/>
    <w:rsid w:val="6929374C"/>
    <w:rsid w:val="692F20BB"/>
    <w:rsid w:val="69784C3F"/>
    <w:rsid w:val="69C1095D"/>
    <w:rsid w:val="69C20942"/>
    <w:rsid w:val="6A0138F7"/>
    <w:rsid w:val="6A1E155A"/>
    <w:rsid w:val="6A7B5447"/>
    <w:rsid w:val="6ADB012D"/>
    <w:rsid w:val="6AE3748E"/>
    <w:rsid w:val="6AF53FAE"/>
    <w:rsid w:val="6B1C3EC6"/>
    <w:rsid w:val="6B4725E4"/>
    <w:rsid w:val="6B574638"/>
    <w:rsid w:val="6B615C8D"/>
    <w:rsid w:val="6B67068F"/>
    <w:rsid w:val="6B6E2E8D"/>
    <w:rsid w:val="6B770E17"/>
    <w:rsid w:val="6BAB6FBB"/>
    <w:rsid w:val="6BB568D4"/>
    <w:rsid w:val="6BDF79C7"/>
    <w:rsid w:val="6BE146ED"/>
    <w:rsid w:val="6C0B074D"/>
    <w:rsid w:val="6C1458EF"/>
    <w:rsid w:val="6C231806"/>
    <w:rsid w:val="6C275F8B"/>
    <w:rsid w:val="6C3B15FF"/>
    <w:rsid w:val="6C3B431E"/>
    <w:rsid w:val="6C3E5116"/>
    <w:rsid w:val="6C6C3BC1"/>
    <w:rsid w:val="6C725FD7"/>
    <w:rsid w:val="6C852D02"/>
    <w:rsid w:val="6CEA2C90"/>
    <w:rsid w:val="6CF96E08"/>
    <w:rsid w:val="6CFA5C74"/>
    <w:rsid w:val="6D2C4A68"/>
    <w:rsid w:val="6D2E4A4F"/>
    <w:rsid w:val="6D3B2E78"/>
    <w:rsid w:val="6D3C3AC0"/>
    <w:rsid w:val="6D3D1962"/>
    <w:rsid w:val="6D410335"/>
    <w:rsid w:val="6D4305C3"/>
    <w:rsid w:val="6D48445E"/>
    <w:rsid w:val="6D500B73"/>
    <w:rsid w:val="6D666AA6"/>
    <w:rsid w:val="6D687043"/>
    <w:rsid w:val="6D7D6DC8"/>
    <w:rsid w:val="6D885EAB"/>
    <w:rsid w:val="6D94449D"/>
    <w:rsid w:val="6D953F0C"/>
    <w:rsid w:val="6DB67EBB"/>
    <w:rsid w:val="6DEF52E3"/>
    <w:rsid w:val="6E0E6A1E"/>
    <w:rsid w:val="6E2D763E"/>
    <w:rsid w:val="6E420FB1"/>
    <w:rsid w:val="6E6E49D6"/>
    <w:rsid w:val="6E8E3022"/>
    <w:rsid w:val="6E95768E"/>
    <w:rsid w:val="6EA14900"/>
    <w:rsid w:val="6EB27AA3"/>
    <w:rsid w:val="6EF9461D"/>
    <w:rsid w:val="6F1348E9"/>
    <w:rsid w:val="6F2A01FE"/>
    <w:rsid w:val="6F2A71A4"/>
    <w:rsid w:val="6F9415EA"/>
    <w:rsid w:val="6FB72F84"/>
    <w:rsid w:val="6FCA5E7C"/>
    <w:rsid w:val="6FE16F4D"/>
    <w:rsid w:val="6FE3419F"/>
    <w:rsid w:val="6FF778F1"/>
    <w:rsid w:val="700346D4"/>
    <w:rsid w:val="70287F2C"/>
    <w:rsid w:val="7032196E"/>
    <w:rsid w:val="70AF69EB"/>
    <w:rsid w:val="70F97D93"/>
    <w:rsid w:val="71181113"/>
    <w:rsid w:val="711D7CA6"/>
    <w:rsid w:val="71227E63"/>
    <w:rsid w:val="71263360"/>
    <w:rsid w:val="71614B6B"/>
    <w:rsid w:val="718D2905"/>
    <w:rsid w:val="719909D2"/>
    <w:rsid w:val="719B61D4"/>
    <w:rsid w:val="71A10922"/>
    <w:rsid w:val="71D214DD"/>
    <w:rsid w:val="71D37164"/>
    <w:rsid w:val="71D46416"/>
    <w:rsid w:val="71F549FF"/>
    <w:rsid w:val="72091DAA"/>
    <w:rsid w:val="72267D97"/>
    <w:rsid w:val="723B1664"/>
    <w:rsid w:val="723D5DA8"/>
    <w:rsid w:val="724E29D1"/>
    <w:rsid w:val="728564F5"/>
    <w:rsid w:val="728B7ACE"/>
    <w:rsid w:val="728E70EC"/>
    <w:rsid w:val="729701CD"/>
    <w:rsid w:val="729E4786"/>
    <w:rsid w:val="72AB431D"/>
    <w:rsid w:val="72DA09BB"/>
    <w:rsid w:val="72E745EF"/>
    <w:rsid w:val="730E0485"/>
    <w:rsid w:val="730E4D7D"/>
    <w:rsid w:val="731466EF"/>
    <w:rsid w:val="73212A01"/>
    <w:rsid w:val="73322FF0"/>
    <w:rsid w:val="733712FB"/>
    <w:rsid w:val="73460FB0"/>
    <w:rsid w:val="73513F28"/>
    <w:rsid w:val="735A7119"/>
    <w:rsid w:val="736127BE"/>
    <w:rsid w:val="7387006B"/>
    <w:rsid w:val="739E0038"/>
    <w:rsid w:val="73B34591"/>
    <w:rsid w:val="73CD7AC7"/>
    <w:rsid w:val="73D850A2"/>
    <w:rsid w:val="73DB56C5"/>
    <w:rsid w:val="73DE7F6C"/>
    <w:rsid w:val="73E365CE"/>
    <w:rsid w:val="73E64B1D"/>
    <w:rsid w:val="73FC58E7"/>
    <w:rsid w:val="740735EA"/>
    <w:rsid w:val="7408106C"/>
    <w:rsid w:val="740F7DC2"/>
    <w:rsid w:val="74275AAB"/>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D3F16"/>
    <w:rsid w:val="75EE05B1"/>
    <w:rsid w:val="764A782F"/>
    <w:rsid w:val="76781DCD"/>
    <w:rsid w:val="76882BF2"/>
    <w:rsid w:val="76CA3328"/>
    <w:rsid w:val="76D84698"/>
    <w:rsid w:val="76E00193"/>
    <w:rsid w:val="76ED7FC6"/>
    <w:rsid w:val="775865D7"/>
    <w:rsid w:val="775B4584"/>
    <w:rsid w:val="776234AF"/>
    <w:rsid w:val="776D12AE"/>
    <w:rsid w:val="77AD0FE0"/>
    <w:rsid w:val="77BE7384"/>
    <w:rsid w:val="78640C74"/>
    <w:rsid w:val="78821B50"/>
    <w:rsid w:val="788E2A2A"/>
    <w:rsid w:val="78C52EE0"/>
    <w:rsid w:val="78D23C9C"/>
    <w:rsid w:val="7913610A"/>
    <w:rsid w:val="791A167A"/>
    <w:rsid w:val="79255F95"/>
    <w:rsid w:val="796B6F7E"/>
    <w:rsid w:val="79935707"/>
    <w:rsid w:val="799A2128"/>
    <w:rsid w:val="79C30D65"/>
    <w:rsid w:val="79CC3295"/>
    <w:rsid w:val="7A0B1561"/>
    <w:rsid w:val="7A25258A"/>
    <w:rsid w:val="7A2C646D"/>
    <w:rsid w:val="7A423A4C"/>
    <w:rsid w:val="7A55546C"/>
    <w:rsid w:val="7A743686"/>
    <w:rsid w:val="7A824E2E"/>
    <w:rsid w:val="7A93705D"/>
    <w:rsid w:val="7A9E7BE0"/>
    <w:rsid w:val="7ABE22FD"/>
    <w:rsid w:val="7AFF6437"/>
    <w:rsid w:val="7B021BF1"/>
    <w:rsid w:val="7B323A8F"/>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6428C2"/>
    <w:rsid w:val="7D67706C"/>
    <w:rsid w:val="7D7525FB"/>
    <w:rsid w:val="7D9E69BB"/>
    <w:rsid w:val="7DAF412D"/>
    <w:rsid w:val="7DC111D1"/>
    <w:rsid w:val="7DC43A43"/>
    <w:rsid w:val="7DC74225"/>
    <w:rsid w:val="7DDA69EF"/>
    <w:rsid w:val="7E311669"/>
    <w:rsid w:val="7E6C26A2"/>
    <w:rsid w:val="7EB35583"/>
    <w:rsid w:val="7EB5276C"/>
    <w:rsid w:val="7EBC57D7"/>
    <w:rsid w:val="7ED0794B"/>
    <w:rsid w:val="7ED70A6F"/>
    <w:rsid w:val="7EE20D78"/>
    <w:rsid w:val="7F3206AA"/>
    <w:rsid w:val="7F5E6382"/>
    <w:rsid w:val="7F5F2553"/>
    <w:rsid w:val="7F6C4684"/>
    <w:rsid w:val="7F89742A"/>
    <w:rsid w:val="7F9B22D0"/>
    <w:rsid w:val="7F9F74D0"/>
    <w:rsid w:val="7FA200C0"/>
    <w:rsid w:val="7FA23B7F"/>
    <w:rsid w:val="7FBE60DA"/>
    <w:rsid w:val="7FBF3588"/>
    <w:rsid w:val="7FC91A5C"/>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7">
    <w:name w:val="Normal Indent"/>
    <w:basedOn w:val="1"/>
    <w:qFormat/>
    <w:uiPriority w:val="0"/>
    <w:pPr>
      <w:ind w:firstLine="420"/>
    </w:pPr>
    <w:rPr>
      <w:szCs w:val="20"/>
    </w:rPr>
  </w:style>
  <w:style w:type="paragraph" w:styleId="8">
    <w:name w:val="Document Map"/>
    <w:basedOn w:val="1"/>
    <w:link w:val="36"/>
    <w:qFormat/>
    <w:uiPriority w:val="0"/>
    <w:rPr>
      <w:rFonts w:ascii="宋体" w:hAnsi="Tahoma"/>
      <w:sz w:val="18"/>
      <w:szCs w:val="18"/>
    </w:rPr>
  </w:style>
  <w:style w:type="paragraph" w:styleId="9">
    <w:name w:val="annotation text"/>
    <w:basedOn w:val="1"/>
    <w:link w:val="65"/>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w:basedOn w:val="1"/>
    <w:next w:val="1"/>
    <w:qFormat/>
    <w:uiPriority w:val="0"/>
    <w:pPr>
      <w:spacing w:after="120"/>
    </w:pPr>
  </w:style>
  <w:style w:type="paragraph" w:styleId="12">
    <w:name w:val="Body Text Indent"/>
    <w:basedOn w:val="1"/>
    <w:qFormat/>
    <w:uiPriority w:val="0"/>
    <w:pPr>
      <w:spacing w:after="120"/>
      <w:ind w:left="420" w:leftChars="200"/>
    </w:pPr>
  </w:style>
  <w:style w:type="paragraph" w:styleId="13">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4">
    <w:name w:val="toc 3"/>
    <w:basedOn w:val="1"/>
    <w:next w:val="1"/>
    <w:unhideWhenUsed/>
    <w:qFormat/>
    <w:uiPriority w:val="39"/>
    <w:pPr>
      <w:ind w:left="840" w:leftChars="400"/>
    </w:pPr>
    <w:rPr>
      <w:sz w:val="28"/>
    </w:rPr>
  </w:style>
  <w:style w:type="paragraph" w:styleId="15">
    <w:name w:val="Plain Text"/>
    <w:basedOn w:val="1"/>
    <w:qFormat/>
    <w:uiPriority w:val="0"/>
    <w:rPr>
      <w:rFonts w:ascii="宋体" w:hAnsi="Courier New" w:eastAsia="楷体_GB2312"/>
      <w:snapToGrid w:val="0"/>
      <w:color w:val="000000"/>
      <w:kern w:val="0"/>
      <w:sz w:val="32"/>
      <w:szCs w:val="21"/>
    </w:rPr>
  </w:style>
  <w:style w:type="paragraph" w:styleId="16">
    <w:name w:val="Date"/>
    <w:basedOn w:val="1"/>
    <w:next w:val="1"/>
    <w:qFormat/>
    <w:uiPriority w:val="0"/>
    <w:rPr>
      <w:rFonts w:ascii="楷体_GB2312" w:eastAsia="楷体_GB2312"/>
      <w:color w:val="000000"/>
      <w:kern w:val="0"/>
      <w:sz w:val="32"/>
      <w:szCs w:val="32"/>
    </w:rPr>
  </w:style>
  <w:style w:type="paragraph" w:styleId="17">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8">
    <w:name w:val="Balloon Text"/>
    <w:basedOn w:val="1"/>
    <w:unhideWhenUsed/>
    <w:qFormat/>
    <w:uiPriority w:val="0"/>
    <w:rPr>
      <w:sz w:val="18"/>
      <w:szCs w:val="18"/>
    </w:rPr>
  </w:style>
  <w:style w:type="paragraph" w:styleId="19">
    <w:name w:val="footer"/>
    <w:basedOn w:val="1"/>
    <w:link w:val="59"/>
    <w:qFormat/>
    <w:uiPriority w:val="99"/>
    <w:pPr>
      <w:tabs>
        <w:tab w:val="center" w:pos="4153"/>
        <w:tab w:val="right" w:pos="8306"/>
      </w:tabs>
      <w:snapToGrid w:val="0"/>
      <w:jc w:val="left"/>
    </w:pPr>
    <w:rPr>
      <w:rFonts w:ascii="Tahoma" w:hAnsi="Tahoma"/>
      <w:sz w:val="18"/>
      <w:szCs w:val="18"/>
    </w:rPr>
  </w:style>
  <w:style w:type="paragraph" w:styleId="20">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ind w:left="359" w:leftChars="171" w:firstLine="554" w:firstLineChars="198"/>
    </w:pPr>
    <w:rPr>
      <w:sz w:val="28"/>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link w:val="63"/>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ahoma" w:hAnsi="Tahoma"/>
      <w:b/>
      <w:bCs/>
      <w:sz w:val="24"/>
    </w:rPr>
  </w:style>
  <w:style w:type="character" w:styleId="31">
    <w:name w:val="page number"/>
    <w:basedOn w:val="29"/>
    <w:qFormat/>
    <w:uiPriority w:val="0"/>
  </w:style>
  <w:style w:type="character" w:styleId="32">
    <w:name w:val="FollowedHyperlink"/>
    <w:qFormat/>
    <w:uiPriority w:val="0"/>
    <w:rPr>
      <w:rFonts w:ascii="Tahoma" w:hAnsi="Tahoma"/>
      <w:color w:val="000000"/>
      <w:sz w:val="18"/>
      <w:szCs w:val="18"/>
      <w:u w:val="none"/>
    </w:rPr>
  </w:style>
  <w:style w:type="character" w:styleId="33">
    <w:name w:val="Hyperlink"/>
    <w:qFormat/>
    <w:uiPriority w:val="99"/>
    <w:rPr>
      <w:rFonts w:ascii="Tahoma" w:hAnsi="Tahoma"/>
      <w:color w:val="0000FF"/>
      <w:sz w:val="24"/>
      <w:u w:val="single"/>
    </w:rPr>
  </w:style>
  <w:style w:type="character" w:styleId="34">
    <w:name w:val="annotation reference"/>
    <w:unhideWhenUsed/>
    <w:qFormat/>
    <w:uiPriority w:val="99"/>
    <w:rPr>
      <w:rFonts w:ascii="Tahoma" w:hAnsi="Tahoma"/>
      <w:sz w:val="21"/>
      <w:szCs w:val="21"/>
    </w:rPr>
  </w:style>
  <w:style w:type="character" w:customStyle="1" w:styleId="35">
    <w:name w:val="cfdate"/>
    <w:basedOn w:val="29"/>
    <w:qFormat/>
    <w:uiPriority w:val="0"/>
    <w:rPr>
      <w:color w:val="333333"/>
      <w:sz w:val="18"/>
      <w:szCs w:val="18"/>
    </w:rPr>
  </w:style>
  <w:style w:type="character" w:customStyle="1" w:styleId="36">
    <w:name w:val="文档结构图 字符"/>
    <w:link w:val="8"/>
    <w:qFormat/>
    <w:uiPriority w:val="0"/>
    <w:rPr>
      <w:rFonts w:ascii="宋体" w:hAnsi="Tahoma"/>
      <w:kern w:val="2"/>
      <w:sz w:val="18"/>
      <w:szCs w:val="18"/>
    </w:rPr>
  </w:style>
  <w:style w:type="character" w:customStyle="1" w:styleId="37">
    <w:name w:val="copyright"/>
    <w:basedOn w:val="29"/>
    <w:qFormat/>
    <w:uiPriority w:val="0"/>
  </w:style>
  <w:style w:type="character" w:customStyle="1" w:styleId="38">
    <w:name w:val="Char Char6"/>
    <w:qFormat/>
    <w:uiPriority w:val="0"/>
    <w:rPr>
      <w:rFonts w:ascii="Tahoma" w:hAnsi="Tahoma" w:eastAsia="宋体"/>
      <w:b/>
      <w:bCs/>
      <w:kern w:val="2"/>
      <w:sz w:val="32"/>
      <w:szCs w:val="32"/>
      <w:lang w:val="en-US" w:eastAsia="zh-CN" w:bidi="ar-SA"/>
    </w:rPr>
  </w:style>
  <w:style w:type="character" w:customStyle="1" w:styleId="39">
    <w:name w:val="qxdate"/>
    <w:basedOn w:val="29"/>
    <w:qFormat/>
    <w:uiPriority w:val="0"/>
    <w:rPr>
      <w:color w:val="333333"/>
      <w:sz w:val="18"/>
      <w:szCs w:val="18"/>
    </w:rPr>
  </w:style>
  <w:style w:type="character" w:customStyle="1" w:styleId="40">
    <w:name w:val="gjfg"/>
    <w:basedOn w:val="29"/>
    <w:qFormat/>
    <w:uiPriority w:val="0"/>
  </w:style>
  <w:style w:type="character" w:customStyle="1" w:styleId="41">
    <w:name w:val="Char Char3"/>
    <w:semiHidden/>
    <w:qFormat/>
    <w:uiPriority w:val="0"/>
    <w:rPr>
      <w:rFonts w:ascii="Tahoma" w:hAnsi="Tahoma" w:eastAsia="宋体"/>
      <w:kern w:val="2"/>
      <w:sz w:val="18"/>
      <w:szCs w:val="18"/>
      <w:lang w:val="en-US" w:eastAsia="zh-CN" w:bidi="ar-SA"/>
    </w:rPr>
  </w:style>
  <w:style w:type="character" w:customStyle="1" w:styleId="42">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3">
    <w:name w:val="Char Char4"/>
    <w:qFormat/>
    <w:uiPriority w:val="0"/>
    <w:rPr>
      <w:rFonts w:ascii="Tahoma" w:hAnsi="Tahoma" w:eastAsia="宋体"/>
      <w:kern w:val="2"/>
      <w:sz w:val="18"/>
      <w:szCs w:val="18"/>
      <w:lang w:val="en-US" w:eastAsia="zh-CN" w:bidi="ar-SA"/>
    </w:rPr>
  </w:style>
  <w:style w:type="character" w:customStyle="1" w:styleId="44">
    <w:name w:val="font51"/>
    <w:qFormat/>
    <w:uiPriority w:val="0"/>
    <w:rPr>
      <w:rFonts w:hint="eastAsia" w:ascii="宋体" w:hAnsi="宋体" w:eastAsia="宋体" w:cs="宋体"/>
      <w:color w:val="000000"/>
      <w:sz w:val="21"/>
      <w:szCs w:val="21"/>
      <w:u w:val="none"/>
    </w:rPr>
  </w:style>
  <w:style w:type="character" w:customStyle="1" w:styleId="45">
    <w:name w:val="Char Char1"/>
    <w:semiHidden/>
    <w:qFormat/>
    <w:uiPriority w:val="0"/>
    <w:rPr>
      <w:rFonts w:ascii="Tahoma" w:hAnsi="Tahoma" w:eastAsia="宋体"/>
      <w:kern w:val="2"/>
      <w:sz w:val="28"/>
      <w:lang w:val="en-US" w:eastAsia="zh-CN" w:bidi="ar-SA"/>
    </w:rPr>
  </w:style>
  <w:style w:type="character" w:customStyle="1" w:styleId="46">
    <w:name w:val="profont1"/>
    <w:qFormat/>
    <w:uiPriority w:val="0"/>
    <w:rPr>
      <w:rFonts w:hint="default" w:ascii="Verdana" w:hAnsi="Verdana"/>
      <w:b/>
      <w:bCs/>
      <w:color w:val="333333"/>
      <w:sz w:val="24"/>
      <w:szCs w:val="24"/>
      <w:u w:val="none"/>
    </w:rPr>
  </w:style>
  <w:style w:type="character" w:customStyle="1" w:styleId="47">
    <w:name w:val="标题 2 Char"/>
    <w:qFormat/>
    <w:uiPriority w:val="0"/>
    <w:rPr>
      <w:rFonts w:ascii="Arial" w:hAnsi="Arial" w:eastAsia="黑体"/>
      <w:b/>
      <w:bCs/>
      <w:kern w:val="2"/>
      <w:sz w:val="32"/>
      <w:szCs w:val="32"/>
      <w:lang w:val="en-US" w:eastAsia="zh-CN" w:bidi="ar-SA"/>
    </w:rPr>
  </w:style>
  <w:style w:type="character" w:customStyle="1" w:styleId="48">
    <w:name w:val="Char Char5"/>
    <w:qFormat/>
    <w:uiPriority w:val="0"/>
    <w:rPr>
      <w:rFonts w:ascii="Tahoma" w:hAnsi="Tahoma" w:eastAsia="宋体"/>
      <w:kern w:val="2"/>
      <w:sz w:val="18"/>
      <w:szCs w:val="18"/>
      <w:lang w:val="en-US" w:eastAsia="zh-CN" w:bidi="ar-SA"/>
    </w:rPr>
  </w:style>
  <w:style w:type="character" w:customStyle="1" w:styleId="49">
    <w:name w:val="标题 1.1 Char1"/>
    <w:qFormat/>
    <w:uiPriority w:val="0"/>
    <w:rPr>
      <w:rFonts w:ascii="Arial" w:hAnsi="Arial" w:eastAsia="黑体"/>
      <w:b/>
      <w:bCs/>
      <w:kern w:val="2"/>
      <w:sz w:val="32"/>
      <w:szCs w:val="32"/>
      <w:lang w:val="en-US" w:eastAsia="zh-CN" w:bidi="ar-SA"/>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font11"/>
    <w:qFormat/>
    <w:uiPriority w:val="0"/>
    <w:rPr>
      <w:rFonts w:hint="eastAsia" w:ascii="宋体" w:hAnsi="宋体" w:eastAsia="宋体" w:cs="宋体"/>
      <w:b/>
      <w:color w:val="000000"/>
      <w:sz w:val="24"/>
      <w:szCs w:val="24"/>
      <w:u w:val="none"/>
    </w:rPr>
  </w:style>
  <w:style w:type="character" w:customStyle="1" w:styleId="52">
    <w:name w:val="Char Char"/>
    <w:qFormat/>
    <w:uiPriority w:val="0"/>
    <w:rPr>
      <w:rFonts w:ascii="Tahoma" w:hAnsi="Tahoma"/>
      <w:kern w:val="2"/>
      <w:sz w:val="21"/>
      <w:szCs w:val="24"/>
    </w:rPr>
  </w:style>
  <w:style w:type="character" w:customStyle="1" w:styleId="53">
    <w:name w:val="style111"/>
    <w:qFormat/>
    <w:uiPriority w:val="0"/>
    <w:rPr>
      <w:rFonts w:ascii="Tahoma" w:hAnsi="Tahoma"/>
      <w:sz w:val="22"/>
      <w:szCs w:val="22"/>
    </w:rPr>
  </w:style>
  <w:style w:type="character" w:customStyle="1" w:styleId="54">
    <w:name w:val="displayarti"/>
    <w:basedOn w:val="29"/>
    <w:qFormat/>
    <w:uiPriority w:val="0"/>
    <w:rPr>
      <w:color w:val="FFFFFF"/>
      <w:shd w:val="clear" w:color="auto" w:fill="A00000"/>
    </w:rPr>
  </w:style>
  <w:style w:type="character" w:customStyle="1" w:styleId="55">
    <w:name w:val="Char Char7"/>
    <w:qFormat/>
    <w:uiPriority w:val="0"/>
    <w:rPr>
      <w:rFonts w:ascii="Tahoma" w:hAnsi="Tahoma" w:eastAsia="宋体"/>
      <w:b/>
      <w:bCs/>
      <w:kern w:val="44"/>
      <w:sz w:val="44"/>
      <w:szCs w:val="44"/>
      <w:lang w:val="en-US" w:eastAsia="zh-CN" w:bidi="ar-SA"/>
    </w:rPr>
  </w:style>
  <w:style w:type="character" w:customStyle="1" w:styleId="56">
    <w:name w:val="font31"/>
    <w:qFormat/>
    <w:uiPriority w:val="0"/>
    <w:rPr>
      <w:rFonts w:hint="eastAsia" w:ascii="宋体" w:hAnsi="宋体" w:eastAsia="宋体" w:cs="宋体"/>
      <w:color w:val="000000"/>
      <w:sz w:val="21"/>
      <w:szCs w:val="21"/>
      <w:u w:val="none"/>
    </w:rPr>
  </w:style>
  <w:style w:type="character" w:customStyle="1" w:styleId="57">
    <w:name w:val="Char Char2"/>
    <w:qFormat/>
    <w:uiPriority w:val="0"/>
    <w:rPr>
      <w:rFonts w:ascii="华文仿宋" w:hAnsi="华文仿宋" w:eastAsia="华文仿宋"/>
      <w:color w:val="000000"/>
      <w:sz w:val="32"/>
      <w:szCs w:val="32"/>
      <w:lang w:val="en-US" w:eastAsia="zh-CN" w:bidi="ar-SA"/>
    </w:rPr>
  </w:style>
  <w:style w:type="character" w:customStyle="1" w:styleId="58">
    <w:name w:val="style51"/>
    <w:qFormat/>
    <w:uiPriority w:val="0"/>
    <w:rPr>
      <w:rFonts w:ascii="Tahoma" w:hAnsi="Tahoma"/>
      <w:b/>
      <w:bCs/>
      <w:color w:val="814107"/>
      <w:sz w:val="21"/>
      <w:szCs w:val="21"/>
    </w:rPr>
  </w:style>
  <w:style w:type="character" w:customStyle="1" w:styleId="59">
    <w:name w:val="页脚 字符"/>
    <w:link w:val="19"/>
    <w:qFormat/>
    <w:uiPriority w:val="99"/>
    <w:rPr>
      <w:rFonts w:ascii="Tahoma" w:hAnsi="Tahoma"/>
      <w:kern w:val="2"/>
      <w:sz w:val="18"/>
      <w:szCs w:val="18"/>
    </w:rPr>
  </w:style>
  <w:style w:type="character" w:customStyle="1" w:styleId="60">
    <w:name w:val="标题 1.1 Char"/>
    <w:qFormat/>
    <w:uiPriority w:val="0"/>
    <w:rPr>
      <w:rFonts w:ascii="仿宋_GB2312" w:hAnsi="Arial" w:eastAsia="仿宋_GB2312" w:cs="Arial"/>
      <w:b/>
      <w:bCs/>
      <w:kern w:val="2"/>
      <w:sz w:val="24"/>
      <w:szCs w:val="24"/>
      <w:lang w:val="en-US" w:eastAsia="zh-CN" w:bidi="ar-SA"/>
    </w:rPr>
  </w:style>
  <w:style w:type="character" w:customStyle="1" w:styleId="61">
    <w:name w:val="普通文字 Char1"/>
    <w:qFormat/>
    <w:uiPriority w:val="0"/>
    <w:rPr>
      <w:rFonts w:ascii="宋体" w:hAnsi="Courier New" w:eastAsia="宋体"/>
      <w:kern w:val="2"/>
      <w:sz w:val="21"/>
      <w:szCs w:val="21"/>
      <w:lang w:val="en-US" w:eastAsia="zh-CN" w:bidi="ar-SA"/>
    </w:rPr>
  </w:style>
  <w:style w:type="character" w:customStyle="1" w:styleId="62">
    <w:name w:val="font41"/>
    <w:qFormat/>
    <w:uiPriority w:val="0"/>
    <w:rPr>
      <w:rFonts w:ascii="font-weight : 400" w:hAnsi="font-weight : 400" w:eastAsia="font-weight : 400" w:cs="font-weight : 400"/>
      <w:color w:val="000000"/>
      <w:sz w:val="21"/>
      <w:szCs w:val="21"/>
      <w:u w:val="none"/>
    </w:rPr>
  </w:style>
  <w:style w:type="character" w:customStyle="1" w:styleId="63">
    <w:name w:val="批注主题 字符"/>
    <w:link w:val="26"/>
    <w:qFormat/>
    <w:uiPriority w:val="0"/>
    <w:rPr>
      <w:rFonts w:ascii="Tahoma" w:hAnsi="Tahoma"/>
      <w:b/>
      <w:bCs/>
      <w:kern w:val="2"/>
      <w:sz w:val="21"/>
      <w:szCs w:val="24"/>
    </w:rPr>
  </w:style>
  <w:style w:type="character" w:customStyle="1" w:styleId="64">
    <w:name w:val="redfilefwwh"/>
    <w:basedOn w:val="29"/>
    <w:qFormat/>
    <w:uiPriority w:val="0"/>
    <w:rPr>
      <w:color w:val="BA2636"/>
      <w:sz w:val="18"/>
      <w:szCs w:val="18"/>
    </w:rPr>
  </w:style>
  <w:style w:type="character" w:customStyle="1" w:styleId="65">
    <w:name w:val="批注文字 字符"/>
    <w:link w:val="9"/>
    <w:semiHidden/>
    <w:qFormat/>
    <w:uiPriority w:val="99"/>
    <w:rPr>
      <w:rFonts w:ascii="Tahoma" w:hAnsi="Tahoma"/>
      <w:kern w:val="2"/>
      <w:sz w:val="21"/>
      <w:szCs w:val="24"/>
    </w:rPr>
  </w:style>
  <w:style w:type="character" w:customStyle="1" w:styleId="66">
    <w:name w:val="redfilenumber"/>
    <w:basedOn w:val="29"/>
    <w:qFormat/>
    <w:uiPriority w:val="0"/>
    <w:rPr>
      <w:color w:val="BA2636"/>
      <w:sz w:val="18"/>
      <w:szCs w:val="18"/>
    </w:rPr>
  </w:style>
  <w:style w:type="paragraph" w:customStyle="1" w:styleId="67">
    <w:name w:val="Char1 Char Char Char"/>
    <w:basedOn w:val="1"/>
    <w:qFormat/>
    <w:uiPriority w:val="0"/>
    <w:pPr>
      <w:adjustRightInd w:val="0"/>
      <w:spacing w:line="360" w:lineRule="auto"/>
    </w:pPr>
    <w:rPr>
      <w:kern w:val="0"/>
      <w:sz w:val="24"/>
      <w:szCs w:val="20"/>
    </w:rPr>
  </w:style>
  <w:style w:type="paragraph" w:customStyle="1" w:styleId="6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_Style 2"/>
    <w:basedOn w:val="1"/>
    <w:qFormat/>
    <w:uiPriority w:val="34"/>
    <w:pPr>
      <w:ind w:firstLine="420" w:firstLineChars="200"/>
    </w:pPr>
  </w:style>
  <w:style w:type="paragraph" w:customStyle="1" w:styleId="70">
    <w:name w:val="Char Char Char Char Char Char"/>
    <w:basedOn w:val="1"/>
    <w:qFormat/>
    <w:uiPriority w:val="0"/>
    <w:rPr>
      <w:rFonts w:ascii="Tahoma" w:hAnsi="Tahoma"/>
      <w:sz w:val="24"/>
    </w:rPr>
  </w:style>
  <w:style w:type="paragraph" w:customStyle="1" w:styleId="71">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Char Char Char"/>
    <w:basedOn w:val="1"/>
    <w:qFormat/>
    <w:uiPriority w:val="0"/>
    <w:rPr>
      <w:rFonts w:ascii="Tahoma" w:hAnsi="Tahoma"/>
      <w:sz w:val="24"/>
      <w:szCs w:val="20"/>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二级条标题"/>
    <w:basedOn w:val="77"/>
    <w:next w:val="1"/>
    <w:qFormat/>
    <w:uiPriority w:val="0"/>
    <w:pPr>
      <w:numPr>
        <w:ilvl w:val="3"/>
      </w:numPr>
      <w:outlineLvl w:val="3"/>
    </w:pPr>
  </w:style>
  <w:style w:type="paragraph" w:customStyle="1" w:styleId="77">
    <w:name w:val="一级条标题"/>
    <w:basedOn w:val="71"/>
    <w:next w:val="1"/>
    <w:qFormat/>
    <w:uiPriority w:val="0"/>
    <w:pPr>
      <w:numPr>
        <w:ilvl w:val="2"/>
      </w:numPr>
      <w:spacing w:beforeLines="0" w:afterLines="0"/>
      <w:outlineLvl w:val="2"/>
    </w:pPr>
  </w:style>
  <w:style w:type="paragraph" w:customStyle="1" w:styleId="78">
    <w:name w:val="Char Char Char1"/>
    <w:basedOn w:val="1"/>
    <w:qFormat/>
    <w:uiPriority w:val="0"/>
    <w:rPr>
      <w:rFonts w:ascii="Tahoma" w:hAnsi="Tahoma"/>
      <w:sz w:val="24"/>
      <w:szCs w:val="20"/>
    </w:rPr>
  </w:style>
  <w:style w:type="paragraph" w:customStyle="1" w:styleId="79">
    <w:name w:val="样式5"/>
    <w:basedOn w:val="80"/>
    <w:qFormat/>
    <w:uiPriority w:val="0"/>
    <w:pPr>
      <w:numPr>
        <w:ilvl w:val="3"/>
      </w:numPr>
      <w:tabs>
        <w:tab w:val="left" w:pos="432"/>
      </w:tabs>
      <w:spacing w:before="156"/>
    </w:pPr>
  </w:style>
  <w:style w:type="paragraph" w:customStyle="1" w:styleId="80">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1">
    <w:name w:val="Char"/>
    <w:basedOn w:val="1"/>
    <w:qFormat/>
    <w:uiPriority w:val="0"/>
    <w:pPr>
      <w:adjustRightInd w:val="0"/>
      <w:spacing w:line="360" w:lineRule="auto"/>
    </w:pPr>
    <w:rPr>
      <w:kern w:val="0"/>
      <w:sz w:val="24"/>
      <w:szCs w:val="20"/>
    </w:rPr>
  </w:style>
  <w:style w:type="paragraph" w:customStyle="1" w:styleId="82">
    <w:name w:val="Char1"/>
    <w:basedOn w:val="1"/>
    <w:qFormat/>
    <w:uiPriority w:val="0"/>
    <w:pPr>
      <w:adjustRightInd w:val="0"/>
      <w:spacing w:line="360" w:lineRule="auto"/>
    </w:pPr>
    <w:rPr>
      <w:kern w:val="0"/>
      <w:sz w:val="24"/>
      <w:szCs w:val="20"/>
    </w:rPr>
  </w:style>
  <w:style w:type="paragraph" w:customStyle="1" w:styleId="83">
    <w:name w:val="三级条标题"/>
    <w:basedOn w:val="76"/>
    <w:next w:val="1"/>
    <w:qFormat/>
    <w:uiPriority w:val="0"/>
    <w:pPr>
      <w:numPr>
        <w:ilvl w:val="4"/>
      </w:numPr>
      <w:outlineLvl w:val="4"/>
    </w:pPr>
  </w:style>
  <w:style w:type="paragraph" w:customStyle="1" w:styleId="84">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Char Char Char Char Char Char Char"/>
    <w:basedOn w:val="1"/>
    <w:qFormat/>
    <w:uiPriority w:val="0"/>
    <w:rPr>
      <w:rFonts w:ascii="Tahoma" w:hAnsi="Tahoma" w:cs="Arial"/>
      <w:szCs w:val="21"/>
    </w:rPr>
  </w:style>
  <w:style w:type="paragraph" w:customStyle="1" w:styleId="86">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7">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8">
    <w:name w:val="五级条标题"/>
    <w:basedOn w:val="89"/>
    <w:next w:val="1"/>
    <w:qFormat/>
    <w:uiPriority w:val="0"/>
    <w:pPr>
      <w:numPr>
        <w:ilvl w:val="6"/>
      </w:numPr>
      <w:outlineLvl w:val="6"/>
    </w:pPr>
  </w:style>
  <w:style w:type="paragraph" w:customStyle="1" w:styleId="89">
    <w:name w:val="四级条标题"/>
    <w:basedOn w:val="83"/>
    <w:next w:val="1"/>
    <w:qFormat/>
    <w:uiPriority w:val="0"/>
    <w:pPr>
      <w:numPr>
        <w:ilvl w:val="5"/>
      </w:numPr>
      <w:outlineLvl w:val="5"/>
    </w:pPr>
  </w:style>
  <w:style w:type="paragraph" w:customStyle="1" w:styleId="90">
    <w:name w:val="Normal Indent1"/>
    <w:basedOn w:val="1"/>
    <w:qFormat/>
    <w:uiPriority w:val="99"/>
    <w:pPr>
      <w:autoSpaceDE w:val="0"/>
      <w:autoSpaceDN w:val="0"/>
      <w:adjustRightInd w:val="0"/>
      <w:ind w:firstLine="420"/>
    </w:pPr>
    <w:rPr>
      <w:kern w:val="0"/>
      <w:szCs w:val="21"/>
    </w:rPr>
  </w:style>
  <w:style w:type="paragraph" w:customStyle="1" w:styleId="91">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2">
    <w:name w:val="样式6"/>
    <w:basedOn w:val="80"/>
    <w:qFormat/>
    <w:uiPriority w:val="0"/>
    <w:pPr>
      <w:numPr>
        <w:ilvl w:val="2"/>
      </w:numPr>
      <w:tabs>
        <w:tab w:val="clear" w:pos="432"/>
      </w:tabs>
      <w:spacing w:before="156"/>
      <w:outlineLvl w:val="4"/>
    </w:pPr>
    <w:rPr>
      <w:rFonts w:ascii="MS Shell Dlg" w:hAnsi="MS Shell Dlg"/>
    </w:rPr>
  </w:style>
  <w:style w:type="paragraph" w:customStyle="1" w:styleId="93">
    <w:name w:val="List Paragraph"/>
    <w:basedOn w:val="1"/>
    <w:qFormat/>
    <w:uiPriority w:val="34"/>
    <w:pPr>
      <w:ind w:firstLine="420" w:firstLineChars="200"/>
    </w:pPr>
    <w:rPr>
      <w:sz w:val="28"/>
    </w:rPr>
  </w:style>
  <w:style w:type="paragraph" w:customStyle="1" w:styleId="94">
    <w:name w:val="列出段落1"/>
    <w:basedOn w:val="1"/>
    <w:qFormat/>
    <w:uiPriority w:val="0"/>
    <w:pPr>
      <w:ind w:firstLine="420" w:firstLineChars="200"/>
    </w:pPr>
    <w:rPr>
      <w:rFonts w:ascii="Calibri" w:hAnsi="Calibri"/>
      <w:kern w:val="0"/>
      <w:sz w:val="20"/>
      <w:szCs w:val="20"/>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6">
    <w:name w:val="Table Paragraph"/>
    <w:basedOn w:val="1"/>
    <w:unhideWhenUsed/>
    <w:qFormat/>
    <w:uiPriority w:val="1"/>
    <w:rPr>
      <w:rFonts w:hint="eastAsia"/>
      <w:sz w:val="24"/>
    </w:r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28614</Words>
  <Characters>30257</Characters>
  <Lines>212</Lines>
  <Paragraphs>59</Paragraphs>
  <TotalTime>20</TotalTime>
  <ScaleCrop>false</ScaleCrop>
  <LinksUpToDate>false</LinksUpToDate>
  <CharactersWithSpaces>34111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Administrator</cp:lastModifiedBy>
  <cp:lastPrinted>2019-09-01T07:55:00Z</cp:lastPrinted>
  <dcterms:modified xsi:type="dcterms:W3CDTF">2023-01-06T01:31:19Z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B075F7E4F4AB4C079894B4532BAA5914</vt:lpwstr>
  </property>
</Properties>
</file>